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25012805" w:rsidR="00E66558" w:rsidRPr="00DE539D" w:rsidRDefault="009D71E8">
      <w:pPr>
        <w:pStyle w:val="Heading1"/>
        <w:rPr>
          <w:rFonts w:asciiTheme="minorHAnsi" w:hAnsiTheme="minorHAnsi" w:cstheme="minorHAnsi"/>
        </w:rPr>
      </w:pPr>
      <w:bookmarkStart w:id="0" w:name="_Toc400361362"/>
      <w:bookmarkStart w:id="1" w:name="_Toc443397153"/>
      <w:bookmarkStart w:id="2" w:name="_Toc357771638"/>
      <w:bookmarkStart w:id="3" w:name="_Toc346793416"/>
      <w:bookmarkStart w:id="4" w:name="_Toc328122777"/>
      <w:r w:rsidRPr="00DE539D">
        <w:rPr>
          <w:rFonts w:asciiTheme="minorHAnsi" w:hAnsiTheme="minorHAnsi" w:cstheme="minorHAnsi"/>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338807F7" w:rsidR="00E66558" w:rsidRPr="00DE539D" w:rsidRDefault="009D71E8">
      <w:pPr>
        <w:pStyle w:val="Heading2"/>
        <w:rPr>
          <w:rFonts w:asciiTheme="minorHAnsi" w:hAnsiTheme="minorHAnsi" w:cstheme="minorHAnsi"/>
          <w:b w:val="0"/>
          <w:bCs/>
          <w:color w:val="auto"/>
          <w:sz w:val="24"/>
          <w:szCs w:val="24"/>
        </w:rPr>
      </w:pPr>
      <w:r w:rsidRPr="00DE539D">
        <w:rPr>
          <w:rFonts w:asciiTheme="minorHAnsi" w:hAnsiTheme="minorHAnsi" w:cstheme="minorHAnsi"/>
          <w:b w:val="0"/>
          <w:bCs/>
          <w:color w:val="auto"/>
          <w:sz w:val="24"/>
          <w:szCs w:val="24"/>
        </w:rPr>
        <w:t>This statement details our school’s use of pupil premium (a</w:t>
      </w:r>
      <w:r w:rsidR="0019464D" w:rsidRPr="00DE539D">
        <w:rPr>
          <w:rFonts w:asciiTheme="minorHAnsi" w:hAnsiTheme="minorHAnsi" w:cstheme="minorHAnsi"/>
          <w:b w:val="0"/>
          <w:bCs/>
          <w:color w:val="auto"/>
          <w:sz w:val="24"/>
          <w:szCs w:val="24"/>
        </w:rPr>
        <w:t>nd recovery premium) funding for the 202</w:t>
      </w:r>
      <w:r w:rsidR="00425A5B">
        <w:rPr>
          <w:rFonts w:asciiTheme="minorHAnsi" w:hAnsiTheme="minorHAnsi" w:cstheme="minorHAnsi"/>
          <w:b w:val="0"/>
          <w:bCs/>
          <w:color w:val="auto"/>
          <w:sz w:val="24"/>
          <w:szCs w:val="24"/>
        </w:rPr>
        <w:t>2 to 2023</w:t>
      </w:r>
      <w:r w:rsidRPr="00DE539D">
        <w:rPr>
          <w:rFonts w:asciiTheme="minorHAnsi" w:hAnsiTheme="minorHAnsi" w:cstheme="minorHAnsi"/>
          <w:b w:val="0"/>
          <w:bCs/>
          <w:color w:val="auto"/>
          <w:sz w:val="24"/>
          <w:szCs w:val="24"/>
        </w:rPr>
        <w:t xml:space="preserve"> acade</w:t>
      </w:r>
      <w:r w:rsidR="0019464D" w:rsidRPr="00DE539D">
        <w:rPr>
          <w:rFonts w:asciiTheme="minorHAnsi" w:hAnsiTheme="minorHAnsi" w:cstheme="minorHAnsi"/>
          <w:b w:val="0"/>
          <w:bCs/>
          <w:color w:val="auto"/>
          <w:sz w:val="24"/>
          <w:szCs w:val="24"/>
        </w:rPr>
        <w:t xml:space="preserve">mic year, </w:t>
      </w:r>
      <w:r w:rsidRPr="00DE539D">
        <w:rPr>
          <w:rFonts w:asciiTheme="minorHAnsi" w:hAnsiTheme="minorHAnsi" w:cstheme="minorHAnsi"/>
          <w:b w:val="0"/>
          <w:bCs/>
          <w:color w:val="auto"/>
          <w:sz w:val="24"/>
          <w:szCs w:val="24"/>
        </w:rPr>
        <w:t xml:space="preserve">to help improve the attainment of our disadvantaged pupils. </w:t>
      </w:r>
    </w:p>
    <w:p w14:paraId="2A7D54B3" w14:textId="0CB99B6E" w:rsidR="00E66558" w:rsidRPr="00DE539D" w:rsidRDefault="009D71E8">
      <w:pPr>
        <w:pStyle w:val="Heading2"/>
        <w:spacing w:before="240"/>
        <w:rPr>
          <w:rFonts w:asciiTheme="minorHAnsi" w:hAnsiTheme="minorHAnsi" w:cstheme="minorHAnsi"/>
          <w:b w:val="0"/>
          <w:bCs/>
          <w:color w:val="auto"/>
          <w:sz w:val="24"/>
          <w:szCs w:val="24"/>
        </w:rPr>
      </w:pPr>
      <w:r w:rsidRPr="00DE539D">
        <w:rPr>
          <w:rFonts w:asciiTheme="minorHAnsi" w:hAnsiTheme="minorHAnsi" w:cstheme="minorHAnsi"/>
          <w:b w:val="0"/>
          <w:bCs/>
          <w:color w:val="auto"/>
          <w:sz w:val="24"/>
          <w:szCs w:val="24"/>
        </w:rPr>
        <w:t xml:space="preserve">It outlines our pupil premium strategy, how we intend to spend the funding in this academic year </w:t>
      </w:r>
      <w:r w:rsidR="00425A5B">
        <w:rPr>
          <w:rFonts w:asciiTheme="minorHAnsi" w:hAnsiTheme="minorHAnsi" w:cstheme="minorHAnsi"/>
          <w:b w:val="0"/>
          <w:bCs/>
          <w:color w:val="auto"/>
          <w:sz w:val="24"/>
          <w:szCs w:val="24"/>
        </w:rPr>
        <w:t>(2023/24</w:t>
      </w:r>
      <w:r w:rsidR="0019464D" w:rsidRPr="00DE539D">
        <w:rPr>
          <w:rFonts w:asciiTheme="minorHAnsi" w:hAnsiTheme="minorHAnsi" w:cstheme="minorHAnsi"/>
          <w:b w:val="0"/>
          <w:bCs/>
          <w:color w:val="auto"/>
          <w:sz w:val="24"/>
          <w:szCs w:val="24"/>
        </w:rPr>
        <w:t xml:space="preserve">) </w:t>
      </w:r>
      <w:r w:rsidRPr="00DE539D">
        <w:rPr>
          <w:rFonts w:asciiTheme="minorHAnsi" w:hAnsiTheme="minorHAnsi" w:cstheme="minorHAnsi"/>
          <w:b w:val="0"/>
          <w:bCs/>
          <w:color w:val="auto"/>
          <w:sz w:val="24"/>
          <w:szCs w:val="24"/>
        </w:rPr>
        <w:t xml:space="preserve">and the effect that last year’s spending of pupil premium had within our school. </w:t>
      </w:r>
    </w:p>
    <w:p w14:paraId="2A7D54B4" w14:textId="77777777" w:rsidR="00E66558" w:rsidRPr="00DE539D" w:rsidRDefault="009D71E8">
      <w:pPr>
        <w:pStyle w:val="Heading2"/>
        <w:rPr>
          <w:rFonts w:asciiTheme="minorHAnsi" w:hAnsiTheme="minorHAnsi" w:cstheme="minorHAnsi"/>
        </w:rPr>
      </w:pPr>
      <w:r w:rsidRPr="00DE539D">
        <w:rPr>
          <w:rFonts w:asciiTheme="minorHAnsi" w:hAnsiTheme="minorHAnsi" w:cstheme="minorHAnsi"/>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rsidRPr="00DE539D" w14:paraId="2A7D54B7" w14:textId="77777777" w:rsidTr="0019464D">
        <w:tc>
          <w:tcPr>
            <w:tcW w:w="66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Detail</w:t>
            </w:r>
          </w:p>
        </w:tc>
        <w:tc>
          <w:tcPr>
            <w:tcW w:w="304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Data</w:t>
            </w:r>
          </w:p>
        </w:tc>
      </w:tr>
      <w:tr w:rsidR="0019464D" w:rsidRPr="00DE539D" w14:paraId="2A7D54BA" w14:textId="77777777" w:rsidTr="0019464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School name</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9814DBE" w:rsidR="0019464D" w:rsidRPr="00DE539D" w:rsidRDefault="0019464D">
            <w:pPr>
              <w:pStyle w:val="TableRow"/>
              <w:rPr>
                <w:rFonts w:asciiTheme="minorHAnsi" w:hAnsiTheme="minorHAnsi" w:cstheme="minorHAnsi"/>
              </w:rPr>
            </w:pPr>
            <w:r w:rsidRPr="00DE539D">
              <w:rPr>
                <w:rFonts w:asciiTheme="minorHAnsi" w:hAnsiTheme="minorHAnsi" w:cstheme="minorHAnsi"/>
              </w:rPr>
              <w:t xml:space="preserve">Brockhampton Primary </w:t>
            </w:r>
          </w:p>
        </w:tc>
      </w:tr>
      <w:tr w:rsidR="0019464D" w:rsidRPr="00DE539D" w14:paraId="2A7D54BD" w14:textId="77777777" w:rsidTr="00677982">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 xml:space="preserve">Number of pupils in school </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1B83FDE" w:rsidR="0019464D" w:rsidRPr="00DE539D" w:rsidRDefault="00425A5B">
            <w:pPr>
              <w:pStyle w:val="TableRow"/>
              <w:rPr>
                <w:rFonts w:asciiTheme="minorHAnsi" w:hAnsiTheme="minorHAnsi" w:cstheme="minorHAnsi"/>
              </w:rPr>
            </w:pPr>
            <w:r>
              <w:rPr>
                <w:rFonts w:asciiTheme="minorHAnsi" w:hAnsiTheme="minorHAnsi" w:cstheme="minorHAnsi"/>
              </w:rPr>
              <w:t>172</w:t>
            </w:r>
          </w:p>
        </w:tc>
      </w:tr>
      <w:tr w:rsidR="0019464D" w:rsidRPr="00DE539D" w14:paraId="2A7D54C0" w14:textId="77777777" w:rsidTr="00677982">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Proportion (%) of pupil premium eligible pupils</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AB94A0E" w:rsidR="0019464D" w:rsidRPr="00DE539D" w:rsidRDefault="00425A5B" w:rsidP="00425A5B">
            <w:pPr>
              <w:pStyle w:val="TableRow"/>
              <w:rPr>
                <w:rFonts w:asciiTheme="minorHAnsi" w:hAnsiTheme="minorHAnsi" w:cstheme="minorHAnsi"/>
              </w:rPr>
            </w:pPr>
            <w:r>
              <w:rPr>
                <w:rFonts w:asciiTheme="minorHAnsi" w:hAnsiTheme="minorHAnsi" w:cstheme="minorHAnsi"/>
              </w:rPr>
              <w:t>37/172  22%</w:t>
            </w:r>
          </w:p>
        </w:tc>
      </w:tr>
      <w:tr w:rsidR="0019464D" w:rsidRPr="00DE539D" w14:paraId="2A7D54C3" w14:textId="77777777" w:rsidTr="0019464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szCs w:val="22"/>
              </w:rPr>
              <w:t xml:space="preserve">Academic year/years that our current pupil premium strategy plan covers </w:t>
            </w:r>
            <w:r w:rsidRPr="00DE539D">
              <w:rPr>
                <w:rFonts w:asciiTheme="minorHAnsi" w:hAnsiTheme="minorHAnsi" w:cstheme="minorHAnsi"/>
                <w:b/>
                <w:bCs/>
                <w:szCs w:val="22"/>
              </w:rPr>
              <w:t>(3 year plans are recommended)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63688F79" w:rsidR="0019464D" w:rsidRPr="00DE539D" w:rsidRDefault="0019464D" w:rsidP="00425A5B">
            <w:pPr>
              <w:pStyle w:val="TableRow"/>
              <w:rPr>
                <w:rFonts w:asciiTheme="minorHAnsi" w:hAnsiTheme="minorHAnsi" w:cstheme="minorHAnsi"/>
              </w:rPr>
            </w:pPr>
            <w:r w:rsidRPr="00DE539D">
              <w:rPr>
                <w:rFonts w:asciiTheme="minorHAnsi" w:hAnsiTheme="minorHAnsi" w:cstheme="minorHAnsi"/>
              </w:rPr>
              <w:t>202</w:t>
            </w:r>
            <w:r w:rsidR="00425A5B">
              <w:rPr>
                <w:rFonts w:asciiTheme="minorHAnsi" w:hAnsiTheme="minorHAnsi" w:cstheme="minorHAnsi"/>
              </w:rPr>
              <w:t>2</w:t>
            </w:r>
            <w:r w:rsidRPr="00DE539D">
              <w:rPr>
                <w:rFonts w:asciiTheme="minorHAnsi" w:hAnsiTheme="minorHAnsi" w:cstheme="minorHAnsi"/>
              </w:rPr>
              <w:t>-202</w:t>
            </w:r>
            <w:r w:rsidR="00425A5B">
              <w:rPr>
                <w:rFonts w:asciiTheme="minorHAnsi" w:hAnsiTheme="minorHAnsi" w:cstheme="minorHAnsi"/>
              </w:rPr>
              <w:t>5</w:t>
            </w:r>
          </w:p>
        </w:tc>
      </w:tr>
      <w:tr w:rsidR="0019464D" w:rsidRPr="00DE539D" w14:paraId="2A7D54C6" w14:textId="77777777" w:rsidTr="0019464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szCs w:val="22"/>
              </w:rPr>
              <w:t>Date this statement was published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F4B4EEA" w:rsidR="0019464D" w:rsidRPr="00DE539D" w:rsidRDefault="0019464D">
            <w:pPr>
              <w:pStyle w:val="TableRow"/>
              <w:rPr>
                <w:rFonts w:asciiTheme="minorHAnsi" w:hAnsiTheme="minorHAnsi" w:cstheme="minorHAnsi"/>
              </w:rPr>
            </w:pPr>
            <w:r w:rsidRPr="00DE539D">
              <w:rPr>
                <w:rFonts w:asciiTheme="minorHAnsi" w:hAnsiTheme="minorHAnsi" w:cstheme="minorHAnsi"/>
              </w:rPr>
              <w:t>July 202</w:t>
            </w:r>
            <w:r w:rsidR="00425A5B">
              <w:rPr>
                <w:rFonts w:asciiTheme="minorHAnsi" w:hAnsiTheme="minorHAnsi" w:cstheme="minorHAnsi"/>
              </w:rPr>
              <w:t>3</w:t>
            </w:r>
          </w:p>
        </w:tc>
      </w:tr>
      <w:tr w:rsidR="0019464D" w:rsidRPr="00DE539D" w14:paraId="2A7D54C9" w14:textId="77777777" w:rsidTr="0019464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szCs w:val="22"/>
              </w:rPr>
              <w:t>Date on which it will be reviewed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5A9396B1" w:rsidR="0019464D" w:rsidRPr="00DE539D" w:rsidRDefault="0019464D">
            <w:pPr>
              <w:pStyle w:val="TableRow"/>
              <w:rPr>
                <w:rFonts w:asciiTheme="minorHAnsi" w:hAnsiTheme="minorHAnsi" w:cstheme="minorHAnsi"/>
              </w:rPr>
            </w:pPr>
            <w:r w:rsidRPr="00DE539D">
              <w:rPr>
                <w:rFonts w:asciiTheme="minorHAnsi" w:hAnsiTheme="minorHAnsi" w:cstheme="minorHAnsi"/>
              </w:rPr>
              <w:t>July 202</w:t>
            </w:r>
            <w:r w:rsidR="00425A5B">
              <w:rPr>
                <w:rFonts w:asciiTheme="minorHAnsi" w:hAnsiTheme="minorHAnsi" w:cstheme="minorHAnsi"/>
              </w:rPr>
              <w:t>4</w:t>
            </w:r>
          </w:p>
        </w:tc>
      </w:tr>
      <w:tr w:rsidR="0019464D" w:rsidRPr="00DE539D" w14:paraId="2A7D54CC" w14:textId="77777777" w:rsidTr="0019464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Statement authorised by</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74A7B1C1" w:rsidR="0019464D" w:rsidRPr="00DE539D" w:rsidRDefault="0019464D">
            <w:pPr>
              <w:pStyle w:val="TableRow"/>
              <w:rPr>
                <w:rFonts w:asciiTheme="minorHAnsi" w:hAnsiTheme="minorHAnsi" w:cstheme="minorHAnsi"/>
              </w:rPr>
            </w:pPr>
            <w:r w:rsidRPr="00DE539D">
              <w:rPr>
                <w:rFonts w:asciiTheme="minorHAnsi" w:hAnsiTheme="minorHAnsi" w:cstheme="minorHAnsi"/>
              </w:rPr>
              <w:t xml:space="preserve">Matthew </w:t>
            </w:r>
            <w:proofErr w:type="spellStart"/>
            <w:r w:rsidRPr="00DE539D">
              <w:rPr>
                <w:rFonts w:asciiTheme="minorHAnsi" w:hAnsiTheme="minorHAnsi" w:cstheme="minorHAnsi"/>
              </w:rPr>
              <w:t>Mander</w:t>
            </w:r>
            <w:proofErr w:type="spellEnd"/>
            <w:r w:rsidRPr="00DE539D">
              <w:rPr>
                <w:rFonts w:asciiTheme="minorHAnsi" w:hAnsiTheme="minorHAnsi" w:cstheme="minorHAnsi"/>
              </w:rPr>
              <w:t xml:space="preserve"> (</w:t>
            </w:r>
            <w:proofErr w:type="spellStart"/>
            <w:r w:rsidRPr="00DE539D">
              <w:rPr>
                <w:rFonts w:asciiTheme="minorHAnsi" w:hAnsiTheme="minorHAnsi" w:cstheme="minorHAnsi"/>
              </w:rPr>
              <w:t>Headteacher</w:t>
            </w:r>
            <w:proofErr w:type="spellEnd"/>
            <w:r w:rsidRPr="00DE539D">
              <w:rPr>
                <w:rFonts w:asciiTheme="minorHAnsi" w:hAnsiTheme="minorHAnsi" w:cstheme="minorHAnsi"/>
              </w:rPr>
              <w:t>)</w:t>
            </w:r>
          </w:p>
        </w:tc>
      </w:tr>
      <w:tr w:rsidR="0019464D" w:rsidRPr="00DE539D" w14:paraId="2A7D54CF" w14:textId="77777777" w:rsidTr="0019464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Pupil premium 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05B2E13" w:rsidR="0019464D" w:rsidRPr="00DE539D" w:rsidRDefault="0019464D">
            <w:pPr>
              <w:pStyle w:val="TableRow"/>
              <w:rPr>
                <w:rFonts w:asciiTheme="minorHAnsi" w:hAnsiTheme="minorHAnsi" w:cstheme="minorHAnsi"/>
              </w:rPr>
            </w:pPr>
            <w:r w:rsidRPr="00DE539D">
              <w:rPr>
                <w:rFonts w:asciiTheme="minorHAnsi" w:hAnsiTheme="minorHAnsi" w:cstheme="minorHAnsi"/>
              </w:rPr>
              <w:t xml:space="preserve">Matthew </w:t>
            </w:r>
            <w:proofErr w:type="spellStart"/>
            <w:r w:rsidRPr="00DE539D">
              <w:rPr>
                <w:rFonts w:asciiTheme="minorHAnsi" w:hAnsiTheme="minorHAnsi" w:cstheme="minorHAnsi"/>
              </w:rPr>
              <w:t>Mander</w:t>
            </w:r>
            <w:proofErr w:type="spellEnd"/>
            <w:r w:rsidRPr="00DE539D">
              <w:rPr>
                <w:rFonts w:asciiTheme="minorHAnsi" w:hAnsiTheme="minorHAnsi" w:cstheme="minorHAnsi"/>
              </w:rPr>
              <w:t xml:space="preserve"> (</w:t>
            </w:r>
            <w:proofErr w:type="spellStart"/>
            <w:r w:rsidRPr="00DE539D">
              <w:rPr>
                <w:rFonts w:asciiTheme="minorHAnsi" w:hAnsiTheme="minorHAnsi" w:cstheme="minorHAnsi"/>
              </w:rPr>
              <w:t>Headteacher</w:t>
            </w:r>
            <w:proofErr w:type="spellEnd"/>
            <w:r w:rsidRPr="00DE539D">
              <w:rPr>
                <w:rFonts w:asciiTheme="minorHAnsi" w:hAnsiTheme="minorHAnsi" w:cstheme="minorHAnsi"/>
              </w:rPr>
              <w:t>)</w:t>
            </w:r>
          </w:p>
        </w:tc>
      </w:tr>
      <w:tr w:rsidR="0019464D" w:rsidRPr="00DE539D" w14:paraId="2A7D54D2" w14:textId="77777777" w:rsidTr="0019464D">
        <w:tc>
          <w:tcPr>
            <w:tcW w:w="6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 xml:space="preserve">Governor </w:t>
            </w:r>
            <w:r w:rsidRPr="00DE539D">
              <w:rPr>
                <w:rFonts w:asciiTheme="minorHAnsi" w:hAnsiTheme="minorHAnsi" w:cstheme="minorHAnsi"/>
                <w:szCs w:val="22"/>
              </w:rPr>
              <w:t xml:space="preserve">/ Trustee </w:t>
            </w:r>
            <w:r w:rsidRPr="00DE539D">
              <w:rPr>
                <w:rFonts w:asciiTheme="minorHAnsi" w:hAnsiTheme="minorHAnsi" w:cstheme="minorHAnsi"/>
              </w:rPr>
              <w:t>lead</w:t>
            </w:r>
          </w:p>
        </w:tc>
        <w:tc>
          <w:tcPr>
            <w:tcW w:w="30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C44FC5F" w:rsidR="0019464D" w:rsidRPr="00DE539D" w:rsidRDefault="0019464D">
            <w:pPr>
              <w:pStyle w:val="TableRow"/>
              <w:rPr>
                <w:rFonts w:asciiTheme="minorHAnsi" w:hAnsiTheme="minorHAnsi" w:cstheme="minorHAnsi"/>
              </w:rPr>
            </w:pPr>
            <w:r w:rsidRPr="00DE539D">
              <w:rPr>
                <w:rFonts w:asciiTheme="minorHAnsi" w:hAnsiTheme="minorHAnsi" w:cstheme="minorHAnsi"/>
              </w:rPr>
              <w:t>Helen Holly</w:t>
            </w:r>
            <w:r w:rsidR="00425A5B">
              <w:rPr>
                <w:rFonts w:asciiTheme="minorHAnsi" w:hAnsiTheme="minorHAnsi" w:cstheme="minorHAnsi"/>
              </w:rPr>
              <w:t xml:space="preserve"> (Chair)</w:t>
            </w:r>
          </w:p>
        </w:tc>
      </w:tr>
    </w:tbl>
    <w:bookmarkEnd w:id="2"/>
    <w:bookmarkEnd w:id="3"/>
    <w:bookmarkEnd w:id="4"/>
    <w:p w14:paraId="2A7D54D3" w14:textId="77777777" w:rsidR="00E66558" w:rsidRPr="00DE539D" w:rsidRDefault="009D71E8">
      <w:pPr>
        <w:spacing w:before="480" w:line="240" w:lineRule="auto"/>
        <w:rPr>
          <w:rFonts w:asciiTheme="minorHAnsi" w:hAnsiTheme="minorHAnsi" w:cstheme="minorHAnsi"/>
          <w:b/>
          <w:color w:val="104F75"/>
          <w:sz w:val="32"/>
          <w:szCs w:val="32"/>
        </w:rPr>
      </w:pPr>
      <w:r w:rsidRPr="00DE539D">
        <w:rPr>
          <w:rFonts w:asciiTheme="minorHAnsi" w:hAnsiTheme="minorHAnsi" w:cstheme="minorHAnsi"/>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rsidRPr="00DE539D"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DE539D" w:rsidRDefault="009D71E8">
            <w:pPr>
              <w:pStyle w:val="TableRow"/>
              <w:rPr>
                <w:rFonts w:asciiTheme="minorHAnsi" w:hAnsiTheme="minorHAnsi" w:cstheme="minorHAnsi"/>
              </w:rPr>
            </w:pPr>
            <w:r w:rsidRPr="00DE539D">
              <w:rPr>
                <w:rFonts w:asciiTheme="minorHAnsi" w:hAnsiTheme="minorHAnsi" w:cstheme="minorHAnsi"/>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DE539D" w:rsidRDefault="009D71E8">
            <w:pPr>
              <w:pStyle w:val="TableRow"/>
              <w:rPr>
                <w:rFonts w:asciiTheme="minorHAnsi" w:hAnsiTheme="minorHAnsi" w:cstheme="minorHAnsi"/>
              </w:rPr>
            </w:pPr>
            <w:r w:rsidRPr="00DE539D">
              <w:rPr>
                <w:rFonts w:asciiTheme="minorHAnsi" w:hAnsiTheme="minorHAnsi" w:cstheme="minorHAnsi"/>
                <w:b/>
              </w:rPr>
              <w:t>Amount</w:t>
            </w:r>
          </w:p>
        </w:tc>
      </w:tr>
      <w:tr w:rsidR="0019464D" w:rsidRPr="00DE539D" w14:paraId="2A7D54D9" w14:textId="77777777" w:rsidTr="008715F0">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C4B394B" w:rsidR="0019464D" w:rsidRPr="00DE539D" w:rsidRDefault="008715F0">
            <w:pPr>
              <w:pStyle w:val="TableRow"/>
              <w:rPr>
                <w:rFonts w:asciiTheme="minorHAnsi" w:hAnsiTheme="minorHAnsi" w:cstheme="minorHAnsi"/>
              </w:rPr>
            </w:pPr>
            <w:r>
              <w:rPr>
                <w:rFonts w:asciiTheme="minorHAnsi" w:hAnsiTheme="minorHAnsi" w:cstheme="minorHAnsi"/>
              </w:rPr>
              <w:t>£30 470</w:t>
            </w:r>
          </w:p>
        </w:tc>
      </w:tr>
      <w:tr w:rsidR="0019464D" w:rsidRPr="00DE539D" w14:paraId="2A7D54DC" w14:textId="77777777" w:rsidTr="00A477F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B" w14:textId="085AA351" w:rsidR="0019464D" w:rsidRPr="00DE539D" w:rsidRDefault="00677982">
            <w:pPr>
              <w:pStyle w:val="TableRow"/>
              <w:rPr>
                <w:rFonts w:asciiTheme="minorHAnsi" w:hAnsiTheme="minorHAnsi" w:cstheme="minorHAnsi"/>
              </w:rPr>
            </w:pPr>
            <w:r>
              <w:rPr>
                <w:rFonts w:asciiTheme="minorHAnsi" w:hAnsiTheme="minorHAnsi" w:cstheme="minorHAnsi"/>
              </w:rPr>
              <w:t>£0</w:t>
            </w:r>
          </w:p>
        </w:tc>
      </w:tr>
      <w:tr w:rsidR="0019464D" w:rsidRPr="00DE539D" w14:paraId="2A7D54DF" w14:textId="77777777" w:rsidTr="00A477FF">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2A7D54DE" w14:textId="3FA01AA8" w:rsidR="0019464D" w:rsidRPr="00DE539D" w:rsidRDefault="0019464D">
            <w:pPr>
              <w:pStyle w:val="TableRow"/>
              <w:rPr>
                <w:rFonts w:asciiTheme="minorHAnsi" w:hAnsiTheme="minorHAnsi" w:cstheme="minorHAnsi"/>
              </w:rPr>
            </w:pPr>
            <w:r w:rsidRPr="00DE539D">
              <w:rPr>
                <w:rFonts w:asciiTheme="minorHAnsi" w:hAnsiTheme="minorHAnsi" w:cstheme="minorHAnsi"/>
              </w:rPr>
              <w:t>£0</w:t>
            </w:r>
          </w:p>
        </w:tc>
      </w:tr>
      <w:tr w:rsidR="0019464D" w:rsidRPr="00DE539D" w14:paraId="2A7D54E3" w14:textId="77777777" w:rsidTr="008715F0">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19464D" w:rsidRPr="00DE539D" w:rsidRDefault="0019464D">
            <w:pPr>
              <w:pStyle w:val="TableRow"/>
              <w:rPr>
                <w:rFonts w:asciiTheme="minorHAnsi" w:hAnsiTheme="minorHAnsi" w:cstheme="minorHAnsi"/>
                <w:b/>
              </w:rPr>
            </w:pPr>
            <w:r w:rsidRPr="00DE539D">
              <w:rPr>
                <w:rFonts w:asciiTheme="minorHAnsi" w:hAnsiTheme="minorHAnsi" w:cstheme="minorHAnsi"/>
                <w:b/>
              </w:rPr>
              <w:t>Total budget for this academic year</w:t>
            </w:r>
          </w:p>
          <w:p w14:paraId="2A7D54E1" w14:textId="77777777" w:rsidR="0019464D" w:rsidRPr="00DE539D" w:rsidRDefault="0019464D">
            <w:pPr>
              <w:pStyle w:val="TableRow"/>
              <w:rPr>
                <w:rFonts w:asciiTheme="minorHAnsi" w:hAnsiTheme="minorHAnsi" w:cstheme="minorHAnsi"/>
              </w:rPr>
            </w:pPr>
            <w:r w:rsidRPr="00DE539D">
              <w:rPr>
                <w:rFonts w:asciiTheme="minorHAnsi" w:hAnsiTheme="minorHAnsi" w:cstheme="minorHAnsi"/>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5CFC5456" w:rsidR="0019464D" w:rsidRPr="00DE539D" w:rsidRDefault="008715F0">
            <w:pPr>
              <w:pStyle w:val="TableRow"/>
              <w:rPr>
                <w:rFonts w:asciiTheme="minorHAnsi" w:hAnsiTheme="minorHAnsi" w:cstheme="minorHAnsi"/>
              </w:rPr>
            </w:pPr>
            <w:r>
              <w:rPr>
                <w:rFonts w:asciiTheme="minorHAnsi" w:hAnsiTheme="minorHAnsi" w:cstheme="minorHAnsi"/>
              </w:rPr>
              <w:t>£39 955</w:t>
            </w:r>
          </w:p>
        </w:tc>
      </w:tr>
    </w:tbl>
    <w:p w14:paraId="2A7D54E4" w14:textId="77777777" w:rsidR="00E66558" w:rsidRPr="00DE539D" w:rsidRDefault="009D71E8">
      <w:pPr>
        <w:pStyle w:val="Heading1"/>
        <w:rPr>
          <w:rFonts w:asciiTheme="minorHAnsi" w:hAnsiTheme="minorHAnsi" w:cstheme="minorHAnsi"/>
        </w:rPr>
      </w:pPr>
      <w:r w:rsidRPr="00DE539D">
        <w:rPr>
          <w:rFonts w:asciiTheme="minorHAnsi" w:hAnsiTheme="minorHAnsi" w:cstheme="minorHAnsi"/>
        </w:rPr>
        <w:lastRenderedPageBreak/>
        <w:t>Part A: Pupil premium strategy plan</w:t>
      </w:r>
    </w:p>
    <w:p w14:paraId="2A7D54E5" w14:textId="77777777" w:rsidR="00E66558" w:rsidRPr="00DE539D" w:rsidRDefault="009D71E8">
      <w:pPr>
        <w:pStyle w:val="Heading2"/>
        <w:rPr>
          <w:rFonts w:asciiTheme="minorHAnsi" w:hAnsiTheme="minorHAnsi" w:cstheme="minorHAnsi"/>
        </w:rPr>
      </w:pPr>
      <w:bookmarkStart w:id="14" w:name="_Toc357771640"/>
      <w:bookmarkStart w:id="15" w:name="_Toc346793418"/>
      <w:r w:rsidRPr="00DE539D">
        <w:rPr>
          <w:rFonts w:asciiTheme="minorHAnsi" w:hAnsiTheme="minorHAnsi" w:cstheme="minorHAnsi"/>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DE539D"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26C4D" w14:textId="0A1EEABE" w:rsidR="001F2ABE" w:rsidRPr="00DE539D" w:rsidRDefault="0019464D" w:rsidP="0019464D">
            <w:pPr>
              <w:spacing w:after="0"/>
              <w:rPr>
                <w:rFonts w:asciiTheme="minorHAnsi" w:hAnsiTheme="minorHAnsi" w:cstheme="minorHAnsi"/>
                <w:sz w:val="22"/>
                <w:szCs w:val="22"/>
              </w:rPr>
            </w:pPr>
            <w:r w:rsidRPr="00DE539D">
              <w:rPr>
                <w:rFonts w:asciiTheme="minorHAnsi" w:hAnsiTheme="minorHAnsi" w:cstheme="minorHAnsi"/>
                <w:sz w:val="22"/>
                <w:szCs w:val="22"/>
              </w:rPr>
              <w:t xml:space="preserve">At Brockhampton, it is our intent that </w:t>
            </w:r>
            <w:r w:rsidR="00DE515C" w:rsidRPr="00DE539D">
              <w:rPr>
                <w:rFonts w:asciiTheme="minorHAnsi" w:hAnsiTheme="minorHAnsi" w:cstheme="minorHAnsi"/>
                <w:sz w:val="22"/>
                <w:szCs w:val="22"/>
              </w:rPr>
              <w:t xml:space="preserve">all our children have </w:t>
            </w:r>
            <w:r w:rsidRPr="00DE539D">
              <w:rPr>
                <w:rFonts w:asciiTheme="minorHAnsi" w:hAnsiTheme="minorHAnsi" w:cstheme="minorHAnsi"/>
                <w:sz w:val="22"/>
                <w:szCs w:val="22"/>
              </w:rPr>
              <w:t>the opportunities to learn, grow and become all they can be. We believe that every child matters</w:t>
            </w:r>
            <w:r w:rsidR="001F2ABE" w:rsidRPr="00DE539D">
              <w:rPr>
                <w:rFonts w:asciiTheme="minorHAnsi" w:hAnsiTheme="minorHAnsi" w:cstheme="minorHAnsi"/>
                <w:sz w:val="22"/>
                <w:szCs w:val="22"/>
              </w:rPr>
              <w:t>. We believe that i</w:t>
            </w:r>
            <w:r w:rsidR="00DE515C" w:rsidRPr="00DE539D">
              <w:rPr>
                <w:rFonts w:asciiTheme="minorHAnsi" w:hAnsiTheme="minorHAnsi" w:cstheme="minorHAnsi"/>
                <w:sz w:val="22"/>
                <w:szCs w:val="22"/>
              </w:rPr>
              <w:t xml:space="preserve">rrespective of background, all our children </w:t>
            </w:r>
            <w:r w:rsidRPr="00DE539D">
              <w:rPr>
                <w:rFonts w:asciiTheme="minorHAnsi" w:hAnsiTheme="minorHAnsi" w:cstheme="minorHAnsi"/>
                <w:sz w:val="22"/>
                <w:szCs w:val="22"/>
              </w:rPr>
              <w:t>are entitled to</w:t>
            </w:r>
            <w:r w:rsidR="001F2ABE" w:rsidRPr="00DE539D">
              <w:rPr>
                <w:rFonts w:asciiTheme="minorHAnsi" w:hAnsiTheme="minorHAnsi" w:cstheme="minorHAnsi"/>
                <w:sz w:val="22"/>
                <w:szCs w:val="22"/>
              </w:rPr>
              <w:t>, and deserve</w:t>
            </w:r>
            <w:r w:rsidRPr="00DE539D">
              <w:rPr>
                <w:rFonts w:asciiTheme="minorHAnsi" w:hAnsiTheme="minorHAnsi" w:cstheme="minorHAnsi"/>
                <w:sz w:val="22"/>
                <w:szCs w:val="22"/>
              </w:rPr>
              <w:t xml:space="preserve">, the best possible start in life. </w:t>
            </w:r>
            <w:r w:rsidR="001F2ABE" w:rsidRPr="00DE539D">
              <w:rPr>
                <w:rFonts w:asciiTheme="minorHAnsi" w:hAnsiTheme="minorHAnsi" w:cstheme="minorHAnsi"/>
                <w:sz w:val="22"/>
                <w:szCs w:val="22"/>
              </w:rPr>
              <w:t>We intend that our disadvant</w:t>
            </w:r>
            <w:r w:rsidR="00F10BF9" w:rsidRPr="00DE539D">
              <w:rPr>
                <w:rFonts w:asciiTheme="minorHAnsi" w:hAnsiTheme="minorHAnsi" w:cstheme="minorHAnsi"/>
                <w:sz w:val="22"/>
                <w:szCs w:val="22"/>
              </w:rPr>
              <w:t>aged children</w:t>
            </w:r>
            <w:r w:rsidR="001F2ABE" w:rsidRPr="00DE539D">
              <w:rPr>
                <w:rFonts w:asciiTheme="minorHAnsi" w:hAnsiTheme="minorHAnsi" w:cstheme="minorHAnsi"/>
                <w:sz w:val="22"/>
                <w:szCs w:val="22"/>
              </w:rPr>
              <w:t>, alongside their peers, should:</w:t>
            </w:r>
          </w:p>
          <w:p w14:paraId="73A29364" w14:textId="77777777" w:rsidR="001F2ABE" w:rsidRPr="00DE539D" w:rsidRDefault="001F2ABE" w:rsidP="0019464D">
            <w:pPr>
              <w:spacing w:after="0"/>
              <w:rPr>
                <w:rFonts w:asciiTheme="minorHAnsi" w:hAnsiTheme="minorHAnsi" w:cstheme="minorHAnsi"/>
                <w:sz w:val="22"/>
                <w:szCs w:val="22"/>
              </w:rPr>
            </w:pPr>
            <w:r w:rsidRPr="00DE539D">
              <w:rPr>
                <w:rFonts w:asciiTheme="minorHAnsi" w:hAnsiTheme="minorHAnsi" w:cstheme="minorHAnsi"/>
                <w:sz w:val="22"/>
                <w:szCs w:val="22"/>
              </w:rPr>
              <w:t>-remain safe, happy and able to learn</w:t>
            </w:r>
          </w:p>
          <w:p w14:paraId="6015C01A" w14:textId="67C83E0E" w:rsidR="001F2ABE" w:rsidRPr="00DE539D" w:rsidRDefault="001F2ABE" w:rsidP="0019464D">
            <w:pPr>
              <w:spacing w:after="0"/>
              <w:rPr>
                <w:rFonts w:asciiTheme="minorHAnsi" w:hAnsiTheme="minorHAnsi" w:cstheme="minorHAnsi"/>
                <w:sz w:val="22"/>
                <w:szCs w:val="22"/>
              </w:rPr>
            </w:pPr>
            <w:r w:rsidRPr="00DE539D">
              <w:rPr>
                <w:rFonts w:asciiTheme="minorHAnsi" w:hAnsiTheme="minorHAnsi" w:cstheme="minorHAnsi"/>
                <w:sz w:val="22"/>
                <w:szCs w:val="22"/>
              </w:rPr>
              <w:t>-engage positively in that learning across the full breadth of the curriculum</w:t>
            </w:r>
          </w:p>
          <w:p w14:paraId="08019FAB" w14:textId="278E6DA8" w:rsidR="001F2ABE" w:rsidRPr="00DE539D" w:rsidRDefault="001F2ABE" w:rsidP="0019464D">
            <w:pPr>
              <w:spacing w:after="0"/>
              <w:rPr>
                <w:rFonts w:asciiTheme="minorHAnsi" w:hAnsiTheme="minorHAnsi" w:cstheme="minorHAnsi"/>
                <w:sz w:val="22"/>
                <w:szCs w:val="22"/>
              </w:rPr>
            </w:pPr>
            <w:r w:rsidRPr="00DE539D">
              <w:rPr>
                <w:rFonts w:asciiTheme="minorHAnsi" w:hAnsiTheme="minorHAnsi" w:cstheme="minorHAnsi"/>
                <w:sz w:val="22"/>
                <w:szCs w:val="22"/>
              </w:rPr>
              <w:t xml:space="preserve">-develop </w:t>
            </w:r>
            <w:r w:rsidR="00F10BF9" w:rsidRPr="00DE539D">
              <w:rPr>
                <w:rFonts w:asciiTheme="minorHAnsi" w:hAnsiTheme="minorHAnsi" w:cstheme="minorHAnsi"/>
                <w:sz w:val="22"/>
                <w:szCs w:val="22"/>
              </w:rPr>
              <w:t>high levels of self-</w:t>
            </w:r>
            <w:r w:rsidRPr="00DE539D">
              <w:rPr>
                <w:rFonts w:asciiTheme="minorHAnsi" w:hAnsiTheme="minorHAnsi" w:cstheme="minorHAnsi"/>
                <w:sz w:val="22"/>
                <w:szCs w:val="22"/>
              </w:rPr>
              <w:t>confidence, resilience and self-esteem</w:t>
            </w:r>
          </w:p>
          <w:p w14:paraId="41570AE9" w14:textId="1522B910" w:rsidR="001F2ABE" w:rsidRPr="00DE539D" w:rsidRDefault="001F2ABE" w:rsidP="0019464D">
            <w:pPr>
              <w:spacing w:after="0"/>
              <w:rPr>
                <w:rFonts w:asciiTheme="minorHAnsi" w:hAnsiTheme="minorHAnsi" w:cstheme="minorHAnsi"/>
                <w:sz w:val="22"/>
                <w:szCs w:val="22"/>
              </w:rPr>
            </w:pPr>
            <w:r w:rsidRPr="00DE539D">
              <w:rPr>
                <w:rFonts w:asciiTheme="minorHAnsi" w:hAnsiTheme="minorHAnsi" w:cstheme="minorHAnsi"/>
                <w:sz w:val="22"/>
                <w:szCs w:val="22"/>
              </w:rPr>
              <w:t>-have wide ranging opportunities to experience and discover interests and passions</w:t>
            </w:r>
          </w:p>
          <w:p w14:paraId="6BB50D05" w14:textId="77777777" w:rsidR="001F2ABE" w:rsidRPr="00DE539D" w:rsidRDefault="001F2ABE" w:rsidP="0019464D">
            <w:pPr>
              <w:spacing w:after="0"/>
              <w:rPr>
                <w:rFonts w:asciiTheme="minorHAnsi" w:hAnsiTheme="minorHAnsi" w:cstheme="minorHAnsi"/>
                <w:sz w:val="22"/>
                <w:szCs w:val="22"/>
              </w:rPr>
            </w:pPr>
            <w:r w:rsidRPr="00DE539D">
              <w:rPr>
                <w:rFonts w:asciiTheme="minorHAnsi" w:hAnsiTheme="minorHAnsi" w:cstheme="minorHAnsi"/>
                <w:sz w:val="22"/>
                <w:szCs w:val="22"/>
              </w:rPr>
              <w:t>-play a full and active part in the “life” of the school</w:t>
            </w:r>
          </w:p>
          <w:p w14:paraId="1975FD3A" w14:textId="1AC08C04" w:rsidR="001F2ABE" w:rsidRPr="00DE539D" w:rsidRDefault="001F2ABE" w:rsidP="0019464D">
            <w:pPr>
              <w:spacing w:after="0"/>
              <w:rPr>
                <w:rFonts w:asciiTheme="minorHAnsi" w:hAnsiTheme="minorHAnsi" w:cstheme="minorHAnsi"/>
                <w:sz w:val="22"/>
                <w:szCs w:val="22"/>
              </w:rPr>
            </w:pPr>
            <w:r w:rsidRPr="00DE539D">
              <w:rPr>
                <w:rFonts w:asciiTheme="minorHAnsi" w:hAnsiTheme="minorHAnsi" w:cstheme="minorHAnsi"/>
                <w:sz w:val="22"/>
                <w:szCs w:val="22"/>
              </w:rPr>
              <w:t>-achieve at least national expectations of attainment and progress by the end of EYFS, KS1 and KS2</w:t>
            </w:r>
          </w:p>
          <w:p w14:paraId="6C27ED23" w14:textId="77777777" w:rsidR="00F10BF9" w:rsidRPr="00DE539D" w:rsidRDefault="00F10BF9" w:rsidP="00F10BF9">
            <w:pPr>
              <w:spacing w:after="0"/>
              <w:rPr>
                <w:rFonts w:asciiTheme="minorHAnsi" w:hAnsiTheme="minorHAnsi" w:cstheme="minorHAnsi"/>
                <w:sz w:val="22"/>
                <w:szCs w:val="22"/>
              </w:rPr>
            </w:pPr>
            <w:r w:rsidRPr="00DE539D">
              <w:rPr>
                <w:rFonts w:asciiTheme="minorHAnsi" w:hAnsiTheme="minorHAnsi" w:cstheme="minorHAnsi"/>
                <w:sz w:val="22"/>
                <w:szCs w:val="22"/>
              </w:rPr>
              <w:t>-be ready and able to access the next stage of their education</w:t>
            </w:r>
          </w:p>
          <w:p w14:paraId="2A7D54E9" w14:textId="5F70C722" w:rsidR="00E66558" w:rsidRPr="00DE539D" w:rsidRDefault="002C3273" w:rsidP="00DE515C">
            <w:pPr>
              <w:spacing w:after="0"/>
              <w:rPr>
                <w:rFonts w:asciiTheme="minorHAnsi" w:hAnsiTheme="minorHAnsi" w:cstheme="minorHAnsi"/>
                <w:sz w:val="22"/>
                <w:szCs w:val="22"/>
              </w:rPr>
            </w:pPr>
            <w:r w:rsidRPr="00DE539D">
              <w:rPr>
                <w:rFonts w:asciiTheme="minorHAnsi" w:hAnsiTheme="minorHAnsi" w:cstheme="minorHAnsi"/>
                <w:sz w:val="22"/>
                <w:szCs w:val="22"/>
              </w:rPr>
              <w:t xml:space="preserve">We intend to ensure our disadvantaged children attend school regularly and on time. Staff understand that children’ social and emotional development plays a significant role in their ability to engage in learning and achieve well. </w:t>
            </w:r>
            <w:r w:rsidR="0019464D" w:rsidRPr="00DE539D">
              <w:rPr>
                <w:rFonts w:asciiTheme="minorHAnsi" w:hAnsiTheme="minorHAnsi" w:cstheme="minorHAnsi"/>
                <w:sz w:val="22"/>
                <w:szCs w:val="22"/>
              </w:rPr>
              <w:t>To that end we prioritise mental h</w:t>
            </w:r>
            <w:r w:rsidRPr="00DE539D">
              <w:rPr>
                <w:rFonts w:asciiTheme="minorHAnsi" w:hAnsiTheme="minorHAnsi" w:cstheme="minorHAnsi"/>
                <w:sz w:val="22"/>
                <w:szCs w:val="22"/>
              </w:rPr>
              <w:t>ealth and well-being through a graduated and p</w:t>
            </w:r>
            <w:r w:rsidR="0019464D" w:rsidRPr="00DE539D">
              <w:rPr>
                <w:rFonts w:asciiTheme="minorHAnsi" w:hAnsiTheme="minorHAnsi" w:cstheme="minorHAnsi"/>
                <w:sz w:val="22"/>
                <w:szCs w:val="22"/>
              </w:rPr>
              <w:t xml:space="preserve">ersonalised approach for screening, assessing and delivering high quality therapeutic and targeted interventions that support children to engage positively in learning, relationships and life. </w:t>
            </w:r>
            <w:proofErr w:type="gramStart"/>
            <w:r w:rsidR="00DE515C" w:rsidRPr="00DE539D">
              <w:rPr>
                <w:rFonts w:asciiTheme="minorHAnsi" w:hAnsiTheme="minorHAnsi" w:cstheme="minorHAnsi"/>
                <w:sz w:val="22"/>
                <w:szCs w:val="22"/>
              </w:rPr>
              <w:t>Staff understand</w:t>
            </w:r>
            <w:proofErr w:type="gramEnd"/>
            <w:r w:rsidR="00DE515C" w:rsidRPr="00DE539D">
              <w:rPr>
                <w:rFonts w:asciiTheme="minorHAnsi" w:hAnsiTheme="minorHAnsi" w:cstheme="minorHAnsi"/>
                <w:sz w:val="22"/>
                <w:szCs w:val="22"/>
              </w:rPr>
              <w:t xml:space="preserve"> the necessity of high expectations and standards for all our children reg</w:t>
            </w:r>
            <w:r w:rsidR="009F322E" w:rsidRPr="00DE539D">
              <w:rPr>
                <w:rFonts w:asciiTheme="minorHAnsi" w:hAnsiTheme="minorHAnsi" w:cstheme="minorHAnsi"/>
                <w:sz w:val="22"/>
                <w:szCs w:val="22"/>
              </w:rPr>
              <w:t xml:space="preserve">ardless of background. They understand </w:t>
            </w:r>
            <w:r w:rsidR="00DE515C" w:rsidRPr="00DE539D">
              <w:rPr>
                <w:rFonts w:asciiTheme="minorHAnsi" w:hAnsiTheme="minorHAnsi" w:cstheme="minorHAnsi"/>
                <w:sz w:val="22"/>
                <w:szCs w:val="22"/>
              </w:rPr>
              <w:t>q</w:t>
            </w:r>
            <w:r w:rsidRPr="00DE539D">
              <w:rPr>
                <w:rFonts w:asciiTheme="minorHAnsi" w:hAnsiTheme="minorHAnsi" w:cstheme="minorHAnsi"/>
                <w:sz w:val="22"/>
                <w:szCs w:val="22"/>
              </w:rPr>
              <w:t xml:space="preserve">uality first teaching lies at the heart of our approach and </w:t>
            </w:r>
            <w:r w:rsidR="009F322E" w:rsidRPr="00DE539D">
              <w:rPr>
                <w:rFonts w:asciiTheme="minorHAnsi" w:hAnsiTheme="minorHAnsi" w:cstheme="minorHAnsi"/>
                <w:sz w:val="22"/>
                <w:szCs w:val="22"/>
              </w:rPr>
              <w:t xml:space="preserve">that </w:t>
            </w:r>
            <w:r w:rsidRPr="00DE539D">
              <w:rPr>
                <w:rFonts w:asciiTheme="minorHAnsi" w:hAnsiTheme="minorHAnsi" w:cstheme="minorHAnsi"/>
                <w:sz w:val="22"/>
                <w:szCs w:val="22"/>
              </w:rPr>
              <w:t xml:space="preserve">professional development to improve teaching and learning skills will have a positive impact on all children in school. </w:t>
            </w:r>
            <w:r w:rsidR="0019464D" w:rsidRPr="00DE539D">
              <w:rPr>
                <w:rFonts w:asciiTheme="minorHAnsi" w:hAnsiTheme="minorHAnsi" w:cstheme="minorHAnsi"/>
                <w:sz w:val="22"/>
                <w:szCs w:val="22"/>
              </w:rPr>
              <w:t>Our strategy includes and extends the approaches, learning and targeted activities that have supported the pupils to recover lost learning due to COVID 19 and are directed to those children whose education has been most affected, inc</w:t>
            </w:r>
            <w:r w:rsidR="00F10BF9" w:rsidRPr="00DE539D">
              <w:rPr>
                <w:rFonts w:asciiTheme="minorHAnsi" w:hAnsiTheme="minorHAnsi" w:cstheme="minorHAnsi"/>
                <w:sz w:val="22"/>
                <w:szCs w:val="22"/>
              </w:rPr>
              <w:t xml:space="preserve">luding non-disadvantaged pupils, and </w:t>
            </w:r>
            <w:r w:rsidRPr="00DE539D">
              <w:rPr>
                <w:rFonts w:asciiTheme="minorHAnsi" w:hAnsiTheme="minorHAnsi" w:cstheme="minorHAnsi"/>
                <w:sz w:val="22"/>
                <w:szCs w:val="22"/>
              </w:rPr>
              <w:t xml:space="preserve">who </w:t>
            </w:r>
            <w:r w:rsidR="00F10BF9" w:rsidRPr="00DE539D">
              <w:rPr>
                <w:rFonts w:asciiTheme="minorHAnsi" w:hAnsiTheme="minorHAnsi" w:cstheme="minorHAnsi"/>
                <w:sz w:val="22"/>
                <w:szCs w:val="22"/>
              </w:rPr>
              <w:t>are most vulnerable to underachievement.</w:t>
            </w:r>
          </w:p>
        </w:tc>
      </w:tr>
    </w:tbl>
    <w:p w14:paraId="2A7D54EB" w14:textId="77777777" w:rsidR="00E66558" w:rsidRPr="00DE539D" w:rsidRDefault="009D71E8">
      <w:pPr>
        <w:pStyle w:val="Heading2"/>
        <w:spacing w:before="600"/>
        <w:rPr>
          <w:rFonts w:asciiTheme="minorHAnsi" w:hAnsiTheme="minorHAnsi" w:cstheme="minorHAnsi"/>
        </w:rPr>
      </w:pPr>
      <w:r w:rsidRPr="00DE539D">
        <w:rPr>
          <w:rFonts w:asciiTheme="minorHAnsi" w:hAnsiTheme="minorHAnsi" w:cstheme="minorHAnsi"/>
        </w:rPr>
        <w:t>Challenges</w:t>
      </w:r>
    </w:p>
    <w:p w14:paraId="2A7D54EC" w14:textId="77777777" w:rsidR="00E66558" w:rsidRPr="00DE539D" w:rsidRDefault="009D71E8">
      <w:pPr>
        <w:spacing w:before="120" w:line="240" w:lineRule="auto"/>
        <w:textAlignment w:val="baseline"/>
        <w:outlineLvl w:val="0"/>
        <w:rPr>
          <w:rFonts w:asciiTheme="minorHAnsi" w:hAnsiTheme="minorHAnsi" w:cstheme="minorHAnsi"/>
        </w:rPr>
      </w:pPr>
      <w:r w:rsidRPr="00DE539D">
        <w:rPr>
          <w:rFonts w:asciiTheme="minorHAnsi" w:hAnsiTheme="minorHAnsi" w:cstheme="minorHAnsi"/>
          <w:bCs/>
          <w:color w:val="auto"/>
        </w:rPr>
        <w:t>This details</w:t>
      </w:r>
      <w:r w:rsidRPr="00DE539D">
        <w:rPr>
          <w:rFonts w:asciiTheme="minorHAnsi" w:hAnsiTheme="minorHAnsi" w:cstheme="minorHAnsi"/>
          <w:color w:val="auto"/>
        </w:rPr>
        <w:t xml:space="preserve"> the key</w:t>
      </w:r>
      <w:r w:rsidRPr="00DE539D">
        <w:rPr>
          <w:rFonts w:asciiTheme="minorHAnsi" w:hAnsiTheme="minorHAnsi" w:cstheme="minorHAnsi"/>
          <w:bCs/>
          <w:color w:val="auto"/>
        </w:rPr>
        <w:t xml:space="preserve"> </w:t>
      </w:r>
      <w:r w:rsidRPr="00DE539D">
        <w:rPr>
          <w:rFonts w:asciiTheme="minorHAnsi" w:hAnsiTheme="minorHAnsi" w:cstheme="minorHAnsi"/>
          <w:color w:val="auto"/>
        </w:rPr>
        <w:t xml:space="preserve">challenges to </w:t>
      </w:r>
      <w:r w:rsidRPr="00DE539D">
        <w:rPr>
          <w:rFonts w:asciiTheme="minorHAnsi" w:hAnsiTheme="minorHAnsi" w:cstheme="minorHAnsi"/>
          <w:bCs/>
          <w:color w:val="auto"/>
        </w:rPr>
        <w:t>achievement that we have</w:t>
      </w:r>
      <w:r w:rsidRPr="00DE539D">
        <w:rPr>
          <w:rFonts w:asciiTheme="minorHAnsi" w:hAnsiTheme="minorHAnsi" w:cstheme="minorHAnsi"/>
          <w:color w:val="auto"/>
        </w:rPr>
        <w:t xml:space="preserve"> identified among </w:t>
      </w:r>
      <w:r w:rsidRPr="00DE539D">
        <w:rPr>
          <w:rFonts w:asciiTheme="minorHAnsi" w:hAnsiTheme="minorHAnsi" w:cstheme="minorHAnsi"/>
          <w:bCs/>
          <w:color w:val="auto"/>
        </w:rPr>
        <w:t>our</w:t>
      </w:r>
      <w:r w:rsidRPr="00DE539D">
        <w:rPr>
          <w:rFonts w:asciiTheme="minorHAnsi" w:hAnsiTheme="minorHAnsi" w:cstheme="minorHAnsi"/>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rsidRPr="00DE539D"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 xml:space="preserve">Detail of challenge </w:t>
            </w:r>
          </w:p>
        </w:tc>
      </w:tr>
      <w:tr w:rsidR="00E66558" w:rsidRPr="00DE539D"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DE539D" w:rsidRDefault="009D71E8">
            <w:pPr>
              <w:pStyle w:val="TableRow"/>
              <w:rPr>
                <w:rFonts w:asciiTheme="minorHAnsi" w:hAnsiTheme="minorHAnsi" w:cstheme="minorHAnsi"/>
                <w:sz w:val="22"/>
                <w:szCs w:val="22"/>
              </w:rPr>
            </w:pPr>
            <w:r w:rsidRPr="00DE539D">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FC45DE2" w:rsidR="00E66558" w:rsidRPr="00DE539D" w:rsidRDefault="00B9188B" w:rsidP="00B9188B">
            <w:pPr>
              <w:pStyle w:val="TableRowCentered"/>
              <w:ind w:left="0"/>
              <w:jc w:val="left"/>
              <w:rPr>
                <w:rFonts w:asciiTheme="minorHAnsi" w:hAnsiTheme="minorHAnsi" w:cstheme="minorHAnsi"/>
                <w:sz w:val="22"/>
                <w:szCs w:val="22"/>
              </w:rPr>
            </w:pPr>
            <w:r w:rsidRPr="00DE539D">
              <w:rPr>
                <w:rFonts w:asciiTheme="minorHAnsi" w:hAnsiTheme="minorHAnsi" w:cstheme="minorHAnsi"/>
                <w:sz w:val="22"/>
                <w:szCs w:val="22"/>
              </w:rPr>
              <w:t>High proportion (44%)</w:t>
            </w:r>
            <w:r w:rsidR="009F322E" w:rsidRPr="00DE539D">
              <w:rPr>
                <w:rFonts w:asciiTheme="minorHAnsi" w:hAnsiTheme="minorHAnsi" w:cstheme="minorHAnsi"/>
                <w:sz w:val="22"/>
                <w:szCs w:val="22"/>
              </w:rPr>
              <w:t xml:space="preserve"> of disadvantaged children are identified as </w:t>
            </w:r>
            <w:r w:rsidRPr="00DE539D">
              <w:rPr>
                <w:rFonts w:asciiTheme="minorHAnsi" w:hAnsiTheme="minorHAnsi" w:cstheme="minorHAnsi"/>
                <w:sz w:val="22"/>
                <w:szCs w:val="22"/>
              </w:rPr>
              <w:t xml:space="preserve">highly </w:t>
            </w:r>
            <w:r w:rsidR="009F322E" w:rsidRPr="00DE539D">
              <w:rPr>
                <w:rFonts w:asciiTheme="minorHAnsi" w:hAnsiTheme="minorHAnsi" w:cstheme="minorHAnsi"/>
                <w:sz w:val="22"/>
                <w:szCs w:val="22"/>
              </w:rPr>
              <w:t xml:space="preserve">vulnerable to underachievement as a result of </w:t>
            </w:r>
            <w:r w:rsidRPr="00DE539D">
              <w:rPr>
                <w:rFonts w:asciiTheme="minorHAnsi" w:hAnsiTheme="minorHAnsi" w:cstheme="minorHAnsi"/>
                <w:sz w:val="22"/>
                <w:szCs w:val="22"/>
              </w:rPr>
              <w:t xml:space="preserve">additional </w:t>
            </w:r>
            <w:r w:rsidR="009F322E" w:rsidRPr="00DE539D">
              <w:rPr>
                <w:rFonts w:asciiTheme="minorHAnsi" w:hAnsiTheme="minorHAnsi" w:cstheme="minorHAnsi"/>
                <w:sz w:val="22"/>
                <w:szCs w:val="22"/>
              </w:rPr>
              <w:t xml:space="preserve"> potential barriers to learning: SEND, Persistent Absence, ACES (safeguarding and welfare issues)</w:t>
            </w:r>
          </w:p>
        </w:tc>
      </w:tr>
      <w:tr w:rsidR="00E66558" w:rsidRPr="00DE539D"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DE539D" w:rsidRDefault="009D71E8">
            <w:pPr>
              <w:pStyle w:val="TableRow"/>
              <w:rPr>
                <w:rFonts w:asciiTheme="minorHAnsi" w:hAnsiTheme="minorHAnsi" w:cstheme="minorHAnsi"/>
                <w:sz w:val="22"/>
                <w:szCs w:val="22"/>
              </w:rPr>
            </w:pPr>
            <w:r w:rsidRPr="00DE539D">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0D74CF" w14:textId="3F109E8E" w:rsidR="009F322E" w:rsidRPr="00DE539D" w:rsidRDefault="009F322E" w:rsidP="00B9188B">
            <w:pPr>
              <w:suppressAutoHyphens w:val="0"/>
              <w:autoSpaceDN/>
              <w:spacing w:after="0" w:line="240" w:lineRule="auto"/>
              <w:ind w:right="57"/>
              <w:rPr>
                <w:rFonts w:asciiTheme="minorHAnsi" w:hAnsiTheme="minorHAnsi" w:cstheme="minorHAnsi"/>
                <w:iCs/>
                <w:color w:val="auto"/>
                <w:sz w:val="22"/>
                <w:szCs w:val="22"/>
                <w:lang w:val="en-US"/>
              </w:rPr>
            </w:pPr>
            <w:r w:rsidRPr="00DE539D">
              <w:rPr>
                <w:rFonts w:asciiTheme="minorHAnsi" w:hAnsiTheme="minorHAnsi" w:cstheme="minorHAnsi"/>
                <w:iCs/>
                <w:color w:val="auto"/>
                <w:sz w:val="22"/>
                <w:szCs w:val="22"/>
                <w:lang w:val="en-US"/>
              </w:rPr>
              <w:t>202</w:t>
            </w:r>
            <w:r w:rsidR="00F63110" w:rsidRPr="00DE539D">
              <w:rPr>
                <w:rFonts w:asciiTheme="minorHAnsi" w:hAnsiTheme="minorHAnsi" w:cstheme="minorHAnsi"/>
                <w:iCs/>
                <w:color w:val="auto"/>
                <w:sz w:val="22"/>
                <w:szCs w:val="22"/>
                <w:lang w:val="en-US"/>
              </w:rPr>
              <w:t>1</w:t>
            </w:r>
            <w:r w:rsidRPr="00DE539D">
              <w:rPr>
                <w:rFonts w:asciiTheme="minorHAnsi" w:hAnsiTheme="minorHAnsi" w:cstheme="minorHAnsi"/>
                <w:iCs/>
                <w:color w:val="auto"/>
                <w:sz w:val="22"/>
                <w:szCs w:val="22"/>
                <w:lang w:val="en-US"/>
              </w:rPr>
              <w:t>/2</w:t>
            </w:r>
            <w:r w:rsidR="00F63110" w:rsidRPr="00DE539D">
              <w:rPr>
                <w:rFonts w:asciiTheme="minorHAnsi" w:hAnsiTheme="minorHAnsi" w:cstheme="minorHAnsi"/>
                <w:iCs/>
                <w:color w:val="auto"/>
                <w:sz w:val="22"/>
                <w:szCs w:val="22"/>
                <w:lang w:val="en-US"/>
              </w:rPr>
              <w:t>2</w:t>
            </w:r>
            <w:r w:rsidRPr="00DE539D">
              <w:rPr>
                <w:rFonts w:asciiTheme="minorHAnsi" w:hAnsiTheme="minorHAnsi" w:cstheme="minorHAnsi"/>
                <w:iCs/>
                <w:color w:val="auto"/>
                <w:sz w:val="22"/>
                <w:szCs w:val="22"/>
                <w:lang w:val="en-US"/>
              </w:rPr>
              <w:t xml:space="preserve"> attendance report indicates that attendance among disadvantaged pupils has been between 3 - 5% lower than for non-disadvantaged pupils.</w:t>
            </w:r>
          </w:p>
          <w:p w14:paraId="2A7D54F4" w14:textId="5D2493DA" w:rsidR="00E66558" w:rsidRPr="00DE539D" w:rsidRDefault="009F322E" w:rsidP="00B9188B">
            <w:pPr>
              <w:suppressAutoHyphens w:val="0"/>
              <w:autoSpaceDN/>
              <w:spacing w:after="0" w:line="240" w:lineRule="auto"/>
              <w:ind w:right="57"/>
              <w:rPr>
                <w:rFonts w:asciiTheme="minorHAnsi" w:hAnsiTheme="minorHAnsi" w:cstheme="minorHAnsi"/>
                <w:iCs/>
                <w:color w:val="auto"/>
                <w:sz w:val="22"/>
                <w:szCs w:val="22"/>
                <w:lang w:val="en-US"/>
              </w:rPr>
            </w:pPr>
            <w:r w:rsidRPr="00DE539D">
              <w:rPr>
                <w:rFonts w:asciiTheme="minorHAnsi" w:hAnsiTheme="minorHAnsi" w:cstheme="minorHAnsi"/>
                <w:iCs/>
                <w:color w:val="auto"/>
                <w:sz w:val="22"/>
                <w:szCs w:val="22"/>
                <w:lang w:val="en-US"/>
              </w:rPr>
              <w:t xml:space="preserve">25% of disadvantaged pupils have been ‘persistently absent’ compared to 17% of their peers during that period. Our assessments and observations indicate that absenteeism is negatively impacting disadvantaged pupils’ </w:t>
            </w:r>
            <w:r w:rsidR="00B9188B" w:rsidRPr="00DE539D">
              <w:rPr>
                <w:rFonts w:asciiTheme="minorHAnsi" w:hAnsiTheme="minorHAnsi" w:cstheme="minorHAnsi"/>
                <w:iCs/>
                <w:color w:val="auto"/>
                <w:sz w:val="22"/>
                <w:szCs w:val="22"/>
                <w:lang w:val="en-US"/>
              </w:rPr>
              <w:t>academic and social/emotional develo</w:t>
            </w:r>
            <w:r w:rsidR="00B9188B" w:rsidRPr="00DE539D">
              <w:rPr>
                <w:rFonts w:asciiTheme="minorHAnsi" w:hAnsiTheme="minorHAnsi" w:cstheme="minorHAnsi"/>
                <w:iCs/>
                <w:color w:val="auto"/>
                <w:sz w:val="22"/>
                <w:szCs w:val="22"/>
                <w:lang w:val="en-US"/>
              </w:rPr>
              <w:t>p</w:t>
            </w:r>
            <w:r w:rsidR="00B9188B" w:rsidRPr="00DE539D">
              <w:rPr>
                <w:rFonts w:asciiTheme="minorHAnsi" w:hAnsiTheme="minorHAnsi" w:cstheme="minorHAnsi"/>
                <w:iCs/>
                <w:color w:val="auto"/>
                <w:sz w:val="22"/>
                <w:szCs w:val="22"/>
                <w:lang w:val="en-US"/>
              </w:rPr>
              <w:t>ment</w:t>
            </w:r>
          </w:p>
        </w:tc>
      </w:tr>
      <w:tr w:rsidR="00E66558" w:rsidRPr="00DE539D"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DE539D" w:rsidRDefault="009D71E8">
            <w:pPr>
              <w:pStyle w:val="TableRow"/>
              <w:rPr>
                <w:rFonts w:asciiTheme="minorHAnsi" w:hAnsiTheme="minorHAnsi" w:cstheme="minorHAnsi"/>
                <w:sz w:val="22"/>
                <w:szCs w:val="22"/>
              </w:rPr>
            </w:pPr>
            <w:r w:rsidRPr="00DE539D">
              <w:rPr>
                <w:rFonts w:asciiTheme="minorHAnsi" w:hAnsiTheme="minorHAnsi" w:cstheme="minorHAnsi"/>
                <w:sz w:val="22"/>
                <w:szCs w:val="22"/>
              </w:rPr>
              <w:lastRenderedPageBreak/>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2E4849F7" w:rsidR="00E66558" w:rsidRPr="00DE539D" w:rsidRDefault="009F322E" w:rsidP="00B9188B">
            <w:pPr>
              <w:pStyle w:val="TableRowCentered"/>
              <w:ind w:left="0"/>
              <w:jc w:val="left"/>
              <w:rPr>
                <w:rFonts w:asciiTheme="minorHAnsi" w:hAnsiTheme="minorHAnsi" w:cstheme="minorHAnsi"/>
                <w:sz w:val="22"/>
                <w:szCs w:val="22"/>
              </w:rPr>
            </w:pPr>
            <w:r w:rsidRPr="00DE539D">
              <w:rPr>
                <w:rFonts w:asciiTheme="minorHAnsi" w:hAnsiTheme="minorHAnsi" w:cstheme="minorHAnsi"/>
                <w:color w:val="auto"/>
                <w:sz w:val="22"/>
                <w:szCs w:val="22"/>
                <w:lang w:val="en-US"/>
              </w:rPr>
              <w:t>A</w:t>
            </w:r>
            <w:r w:rsidR="00F63110" w:rsidRPr="00DE539D">
              <w:rPr>
                <w:rFonts w:asciiTheme="minorHAnsi" w:hAnsiTheme="minorHAnsi" w:cstheme="minorHAnsi"/>
                <w:color w:val="auto"/>
                <w:sz w:val="22"/>
                <w:szCs w:val="22"/>
                <w:lang w:val="en-US"/>
              </w:rPr>
              <w:t xml:space="preserve">ssessments and </w:t>
            </w:r>
            <w:r w:rsidRPr="00DE539D">
              <w:rPr>
                <w:rFonts w:asciiTheme="minorHAnsi" w:hAnsiTheme="minorHAnsi" w:cstheme="minorHAnsi"/>
                <w:color w:val="auto"/>
                <w:sz w:val="22"/>
                <w:szCs w:val="22"/>
                <w:lang w:val="en-US"/>
              </w:rPr>
              <w:t>observations</w:t>
            </w:r>
            <w:r w:rsidR="00F63110" w:rsidRPr="00DE539D">
              <w:rPr>
                <w:rFonts w:asciiTheme="minorHAnsi" w:hAnsiTheme="minorHAnsi" w:cstheme="minorHAnsi"/>
                <w:color w:val="auto"/>
                <w:sz w:val="22"/>
                <w:szCs w:val="22"/>
                <w:lang w:val="en-US"/>
              </w:rPr>
              <w:t xml:space="preserve"> in Early Years suggest </w:t>
            </w:r>
            <w:r w:rsidRPr="00DE539D">
              <w:rPr>
                <w:rFonts w:asciiTheme="minorHAnsi" w:hAnsiTheme="minorHAnsi" w:cstheme="minorHAnsi"/>
                <w:color w:val="auto"/>
                <w:sz w:val="22"/>
                <w:szCs w:val="22"/>
                <w:lang w:val="en-US"/>
              </w:rPr>
              <w:t>disad</w:t>
            </w:r>
            <w:r w:rsidR="00F63110" w:rsidRPr="00DE539D">
              <w:rPr>
                <w:rFonts w:asciiTheme="minorHAnsi" w:hAnsiTheme="minorHAnsi" w:cstheme="minorHAnsi"/>
                <w:color w:val="auto"/>
                <w:sz w:val="22"/>
                <w:szCs w:val="22"/>
                <w:lang w:val="en-US"/>
              </w:rPr>
              <w:t>vantaged children</w:t>
            </w:r>
            <w:r w:rsidRPr="00DE539D">
              <w:rPr>
                <w:rFonts w:asciiTheme="minorHAnsi" w:hAnsiTheme="minorHAnsi" w:cstheme="minorHAnsi"/>
                <w:color w:val="auto"/>
                <w:sz w:val="22"/>
                <w:szCs w:val="22"/>
                <w:lang w:val="en-US"/>
              </w:rPr>
              <w:t xml:space="preserve"> generally have greater difficulties with </w:t>
            </w:r>
            <w:r w:rsidR="00F63110" w:rsidRPr="00DE539D">
              <w:rPr>
                <w:rFonts w:asciiTheme="minorHAnsi" w:hAnsiTheme="minorHAnsi" w:cstheme="minorHAnsi"/>
                <w:color w:val="auto"/>
                <w:sz w:val="22"/>
                <w:szCs w:val="22"/>
                <w:lang w:val="en-US"/>
              </w:rPr>
              <w:t xml:space="preserve">speech, language and communication skills than their non-disadvantaged peers. </w:t>
            </w:r>
            <w:r w:rsidR="00B9188B" w:rsidRPr="00DE539D">
              <w:rPr>
                <w:rFonts w:asciiTheme="minorHAnsi" w:hAnsiTheme="minorHAnsi" w:cstheme="minorHAnsi"/>
                <w:color w:val="auto"/>
                <w:sz w:val="22"/>
                <w:szCs w:val="22"/>
                <w:lang w:val="en-US"/>
              </w:rPr>
              <w:t xml:space="preserve">Currently 6/10 60% of PP children N-Y2. </w:t>
            </w:r>
            <w:r w:rsidR="00F63110" w:rsidRPr="00DE539D">
              <w:rPr>
                <w:rFonts w:asciiTheme="minorHAnsi" w:hAnsiTheme="minorHAnsi" w:cstheme="minorHAnsi"/>
                <w:color w:val="auto"/>
                <w:sz w:val="22"/>
                <w:szCs w:val="22"/>
                <w:lang w:val="en-US"/>
              </w:rPr>
              <w:t>This subsequently negatively impacts on attainment and progress in phonics, vocabulary</w:t>
            </w:r>
            <w:r w:rsidR="00B9188B" w:rsidRPr="00DE539D">
              <w:rPr>
                <w:rFonts w:asciiTheme="minorHAnsi" w:hAnsiTheme="minorHAnsi" w:cstheme="minorHAnsi"/>
                <w:color w:val="auto"/>
                <w:sz w:val="22"/>
                <w:szCs w:val="22"/>
                <w:lang w:val="en-US"/>
              </w:rPr>
              <w:t xml:space="preserve"> development, early reading/, KS1 outcomes and ability to access KS2 curriculum</w:t>
            </w:r>
          </w:p>
        </w:tc>
      </w:tr>
      <w:tr w:rsidR="00E66558" w:rsidRPr="00DE539D"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DE539D" w:rsidRDefault="009D71E8">
            <w:pPr>
              <w:pStyle w:val="TableRow"/>
              <w:rPr>
                <w:rFonts w:asciiTheme="minorHAnsi" w:hAnsiTheme="minorHAnsi" w:cstheme="minorHAnsi"/>
                <w:sz w:val="22"/>
                <w:szCs w:val="22"/>
              </w:rPr>
            </w:pPr>
            <w:r w:rsidRPr="00DE539D">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5B875B7" w:rsidR="00E66558" w:rsidRPr="00DE539D" w:rsidRDefault="009F322E" w:rsidP="009F322E">
            <w:pPr>
              <w:pStyle w:val="TableRowCentered"/>
              <w:jc w:val="left"/>
              <w:rPr>
                <w:rFonts w:asciiTheme="minorHAnsi" w:hAnsiTheme="minorHAnsi" w:cstheme="minorHAnsi"/>
                <w:iCs/>
                <w:sz w:val="22"/>
              </w:rPr>
            </w:pPr>
            <w:r w:rsidRPr="00DE539D">
              <w:rPr>
                <w:rFonts w:asciiTheme="minorHAnsi" w:hAnsiTheme="minorHAnsi" w:cstheme="minorHAnsi"/>
                <w:iCs/>
                <w:color w:val="auto"/>
                <w:sz w:val="22"/>
                <w:szCs w:val="22"/>
                <w:lang w:val="en-US"/>
              </w:rPr>
              <w:t xml:space="preserve">Assessments, observations, and discussions indicate disadvantaged pupils generally achieve less well </w:t>
            </w:r>
            <w:r w:rsidR="00F63110" w:rsidRPr="00DE539D">
              <w:rPr>
                <w:rFonts w:asciiTheme="minorHAnsi" w:hAnsiTheme="minorHAnsi" w:cstheme="minorHAnsi"/>
                <w:iCs/>
                <w:color w:val="auto"/>
                <w:sz w:val="22"/>
                <w:szCs w:val="22"/>
                <w:lang w:val="en-US"/>
              </w:rPr>
              <w:t xml:space="preserve">in reading, writing and </w:t>
            </w:r>
            <w:proofErr w:type="spellStart"/>
            <w:r w:rsidR="00F63110" w:rsidRPr="00DE539D">
              <w:rPr>
                <w:rFonts w:asciiTheme="minorHAnsi" w:hAnsiTheme="minorHAnsi" w:cstheme="minorHAnsi"/>
                <w:iCs/>
                <w:color w:val="auto"/>
                <w:sz w:val="22"/>
                <w:szCs w:val="22"/>
                <w:lang w:val="en-US"/>
              </w:rPr>
              <w:t>maths</w:t>
            </w:r>
            <w:proofErr w:type="spellEnd"/>
            <w:r w:rsidR="00F63110" w:rsidRPr="00DE539D">
              <w:rPr>
                <w:rFonts w:asciiTheme="minorHAnsi" w:hAnsiTheme="minorHAnsi" w:cstheme="minorHAnsi"/>
                <w:iCs/>
                <w:color w:val="auto"/>
                <w:sz w:val="22"/>
                <w:szCs w:val="22"/>
                <w:lang w:val="en-US"/>
              </w:rPr>
              <w:t xml:space="preserve"> </w:t>
            </w:r>
            <w:r w:rsidRPr="00DE539D">
              <w:rPr>
                <w:rFonts w:asciiTheme="minorHAnsi" w:hAnsiTheme="minorHAnsi" w:cstheme="minorHAnsi"/>
                <w:iCs/>
                <w:color w:val="auto"/>
                <w:sz w:val="22"/>
                <w:szCs w:val="22"/>
                <w:lang w:val="en-US"/>
              </w:rPr>
              <w:t>than their peers</w:t>
            </w:r>
            <w:r w:rsidR="00F63110" w:rsidRPr="00DE539D">
              <w:rPr>
                <w:rFonts w:asciiTheme="minorHAnsi" w:hAnsiTheme="minorHAnsi" w:cstheme="minorHAnsi"/>
                <w:iCs/>
                <w:color w:val="auto"/>
                <w:sz w:val="22"/>
                <w:szCs w:val="22"/>
                <w:lang w:val="en-US"/>
              </w:rPr>
              <w:t xml:space="preserve">, </w:t>
            </w:r>
            <w:r w:rsidRPr="00DE539D">
              <w:rPr>
                <w:rFonts w:asciiTheme="minorHAnsi" w:hAnsiTheme="minorHAnsi" w:cstheme="minorHAnsi"/>
                <w:iCs/>
                <w:color w:val="auto"/>
                <w:sz w:val="22"/>
                <w:szCs w:val="22"/>
                <w:lang w:val="en-US"/>
              </w:rPr>
              <w:t xml:space="preserve"> by the end of EYFS and KS1, and at GDS throughout the school</w:t>
            </w:r>
          </w:p>
        </w:tc>
      </w:tr>
      <w:tr w:rsidR="00E66558" w:rsidRPr="00DE539D"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DE539D" w:rsidRDefault="009D71E8">
            <w:pPr>
              <w:pStyle w:val="TableRow"/>
              <w:rPr>
                <w:rFonts w:asciiTheme="minorHAnsi" w:hAnsiTheme="minorHAnsi" w:cstheme="minorHAnsi"/>
                <w:sz w:val="22"/>
                <w:szCs w:val="22"/>
              </w:rPr>
            </w:pPr>
            <w:bookmarkStart w:id="16" w:name="_Toc443397160"/>
            <w:r w:rsidRPr="00DE539D">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68477B3" w:rsidR="00E66558" w:rsidRPr="00DE539D" w:rsidRDefault="00B9188B">
            <w:pPr>
              <w:pStyle w:val="TableRowCentered"/>
              <w:jc w:val="left"/>
              <w:rPr>
                <w:rFonts w:asciiTheme="minorHAnsi" w:hAnsiTheme="minorHAnsi" w:cstheme="minorHAnsi"/>
                <w:iCs/>
                <w:sz w:val="22"/>
                <w:szCs w:val="22"/>
              </w:rPr>
            </w:pPr>
            <w:r w:rsidRPr="00DE539D">
              <w:rPr>
                <w:rFonts w:asciiTheme="minorHAnsi" w:hAnsiTheme="minorHAnsi" w:cstheme="minorHAnsi"/>
                <w:iCs/>
                <w:sz w:val="22"/>
                <w:szCs w:val="22"/>
              </w:rPr>
              <w:t>Analysis of extra-</w:t>
            </w:r>
            <w:r w:rsidR="009F322E" w:rsidRPr="00DE539D">
              <w:rPr>
                <w:rFonts w:asciiTheme="minorHAnsi" w:hAnsiTheme="minorHAnsi" w:cstheme="minorHAnsi"/>
                <w:iCs/>
                <w:sz w:val="22"/>
                <w:szCs w:val="22"/>
              </w:rPr>
              <w:t>curricular activities</w:t>
            </w:r>
            <w:r w:rsidRPr="00DE539D">
              <w:rPr>
                <w:rFonts w:asciiTheme="minorHAnsi" w:hAnsiTheme="minorHAnsi" w:cstheme="minorHAnsi"/>
                <w:iCs/>
                <w:sz w:val="22"/>
                <w:szCs w:val="22"/>
              </w:rPr>
              <w:t>/peripatetic music teaching,</w:t>
            </w:r>
            <w:r w:rsidR="009F322E" w:rsidRPr="00DE539D">
              <w:rPr>
                <w:rFonts w:asciiTheme="minorHAnsi" w:hAnsiTheme="minorHAnsi" w:cstheme="minorHAnsi"/>
                <w:iCs/>
                <w:sz w:val="22"/>
                <w:szCs w:val="22"/>
              </w:rPr>
              <w:t xml:space="preserve"> suggest fewer disadvantaged children access </w:t>
            </w:r>
            <w:r w:rsidR="00F63110" w:rsidRPr="00DE539D">
              <w:rPr>
                <w:rFonts w:asciiTheme="minorHAnsi" w:hAnsiTheme="minorHAnsi" w:cstheme="minorHAnsi"/>
                <w:iCs/>
                <w:sz w:val="22"/>
                <w:szCs w:val="22"/>
              </w:rPr>
              <w:t xml:space="preserve">enrichment activities and </w:t>
            </w:r>
            <w:r w:rsidR="009F322E" w:rsidRPr="00DE539D">
              <w:rPr>
                <w:rFonts w:asciiTheme="minorHAnsi" w:hAnsiTheme="minorHAnsi" w:cstheme="minorHAnsi"/>
                <w:iCs/>
                <w:sz w:val="22"/>
                <w:szCs w:val="22"/>
              </w:rPr>
              <w:t>provision than their non-disadvantaged peers</w:t>
            </w:r>
          </w:p>
        </w:tc>
      </w:tr>
    </w:tbl>
    <w:p w14:paraId="2A7D54FF" w14:textId="77777777" w:rsidR="00E66558" w:rsidRPr="00DE539D" w:rsidRDefault="009D71E8">
      <w:pPr>
        <w:pStyle w:val="Heading2"/>
        <w:spacing w:before="600"/>
        <w:rPr>
          <w:rFonts w:asciiTheme="minorHAnsi" w:hAnsiTheme="minorHAnsi" w:cstheme="minorHAnsi"/>
        </w:rPr>
      </w:pPr>
      <w:r w:rsidRPr="00DE539D">
        <w:rPr>
          <w:rFonts w:asciiTheme="minorHAnsi" w:hAnsiTheme="minorHAnsi" w:cstheme="minorHAnsi"/>
        </w:rPr>
        <w:t xml:space="preserve">Intended outcomes </w:t>
      </w:r>
    </w:p>
    <w:p w14:paraId="2A7D5500" w14:textId="77777777" w:rsidR="00E66558" w:rsidRPr="00DE539D" w:rsidRDefault="009D71E8">
      <w:pPr>
        <w:rPr>
          <w:rFonts w:asciiTheme="minorHAnsi" w:hAnsiTheme="minorHAnsi" w:cstheme="minorHAnsi"/>
        </w:rPr>
      </w:pPr>
      <w:r w:rsidRPr="00DE539D">
        <w:rPr>
          <w:rFonts w:asciiTheme="minorHAnsi" w:hAnsiTheme="minorHAnsi" w:cstheme="minorHAnsi"/>
          <w:color w:val="auto"/>
        </w:rPr>
        <w:t xml:space="preserve">This explains the outcomes we are aiming for </w:t>
      </w:r>
      <w:r w:rsidRPr="00DE539D">
        <w:rPr>
          <w:rFonts w:asciiTheme="minorHAnsi" w:hAnsiTheme="minorHAnsi" w:cstheme="minorHAnsi"/>
          <w:b/>
          <w:bCs/>
          <w:color w:val="auto"/>
        </w:rPr>
        <w:t>by the end of our current strategy plan</w:t>
      </w:r>
      <w:r w:rsidRPr="00DE539D">
        <w:rPr>
          <w:rFonts w:asciiTheme="minorHAnsi" w:hAnsiTheme="minorHAnsi" w:cstheme="minorHAnsi"/>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rsidRPr="00DE539D"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Success criteria</w:t>
            </w:r>
          </w:p>
        </w:tc>
      </w:tr>
      <w:tr w:rsidR="00E66558" w:rsidRPr="00DE539D"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7640DEA3" w:rsidR="00E66558" w:rsidRPr="00DE539D" w:rsidRDefault="00425A5B" w:rsidP="0055787F">
            <w:pPr>
              <w:pStyle w:val="TableRow"/>
              <w:rPr>
                <w:rFonts w:asciiTheme="minorHAnsi" w:hAnsiTheme="minorHAnsi" w:cstheme="minorHAnsi"/>
                <w:sz w:val="22"/>
                <w:szCs w:val="22"/>
              </w:rPr>
            </w:pPr>
            <w:r>
              <w:rPr>
                <w:rFonts w:asciiTheme="minorHAnsi" w:hAnsiTheme="minorHAnsi" w:cstheme="minorHAnsi"/>
                <w:sz w:val="22"/>
                <w:szCs w:val="22"/>
              </w:rPr>
              <w:t>S</w:t>
            </w:r>
            <w:r w:rsidR="0055787F" w:rsidRPr="00DE539D">
              <w:rPr>
                <w:rFonts w:asciiTheme="minorHAnsi" w:hAnsiTheme="minorHAnsi" w:cstheme="minorHAnsi"/>
                <w:sz w:val="22"/>
                <w:szCs w:val="22"/>
              </w:rPr>
              <w:t xml:space="preserve">ustain improved attendance for disadvantaged children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FDC4A" w14:textId="77777777" w:rsidR="0055787F" w:rsidRPr="00DE539D" w:rsidRDefault="0055787F" w:rsidP="0055787F">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Overall attendance for disadvantaged children to meet school target of 96%</w:t>
            </w:r>
          </w:p>
          <w:p w14:paraId="7A5B7745" w14:textId="5A30E6A4" w:rsidR="009A0FC6" w:rsidRDefault="009A0FC6" w:rsidP="009A0FC6">
            <w:pPr>
              <w:pStyle w:val="TableRowCentered"/>
              <w:jc w:val="left"/>
              <w:rPr>
                <w:rFonts w:asciiTheme="minorHAnsi" w:hAnsiTheme="minorHAnsi" w:cstheme="minorHAnsi"/>
                <w:sz w:val="22"/>
                <w:szCs w:val="22"/>
              </w:rPr>
            </w:pPr>
            <w:r>
              <w:rPr>
                <w:rFonts w:asciiTheme="minorHAnsi" w:hAnsiTheme="minorHAnsi" w:cstheme="minorHAnsi"/>
                <w:sz w:val="22"/>
                <w:szCs w:val="22"/>
              </w:rPr>
              <w:t>2023/24 % of d</w:t>
            </w:r>
            <w:r w:rsidR="0055787F" w:rsidRPr="00DE539D">
              <w:rPr>
                <w:rFonts w:asciiTheme="minorHAnsi" w:hAnsiTheme="minorHAnsi" w:cstheme="minorHAnsi"/>
                <w:sz w:val="22"/>
                <w:szCs w:val="22"/>
              </w:rPr>
              <w:t xml:space="preserve">isadvantaged children </w:t>
            </w:r>
            <w:r>
              <w:rPr>
                <w:rFonts w:asciiTheme="minorHAnsi" w:hAnsiTheme="minorHAnsi" w:cstheme="minorHAnsi"/>
                <w:sz w:val="22"/>
                <w:szCs w:val="22"/>
              </w:rPr>
              <w:t xml:space="preserve">PA </w:t>
            </w:r>
            <w:r w:rsidR="0055787F" w:rsidRPr="00DE539D">
              <w:rPr>
                <w:rFonts w:asciiTheme="minorHAnsi" w:hAnsiTheme="minorHAnsi" w:cstheme="minorHAnsi"/>
                <w:sz w:val="22"/>
                <w:szCs w:val="22"/>
              </w:rPr>
              <w:t xml:space="preserve">to </w:t>
            </w:r>
            <w:r>
              <w:rPr>
                <w:rFonts w:asciiTheme="minorHAnsi" w:hAnsiTheme="minorHAnsi" w:cstheme="minorHAnsi"/>
                <w:sz w:val="22"/>
                <w:szCs w:val="22"/>
              </w:rPr>
              <w:t xml:space="preserve">build on improvement seen in 2022/23. </w:t>
            </w:r>
          </w:p>
          <w:p w14:paraId="473713A1" w14:textId="72F60FE6" w:rsidR="009A0FC6" w:rsidRDefault="009A0FC6" w:rsidP="009A0FC6">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July 2022 </w:t>
            </w:r>
            <w:proofErr w:type="spellStart"/>
            <w:r>
              <w:rPr>
                <w:rFonts w:asciiTheme="minorHAnsi" w:hAnsiTheme="minorHAnsi" w:cstheme="minorHAnsi"/>
                <w:sz w:val="22"/>
                <w:szCs w:val="22"/>
              </w:rPr>
              <w:t>Disadv</w:t>
            </w:r>
            <w:proofErr w:type="spellEnd"/>
            <w:r>
              <w:rPr>
                <w:rFonts w:asciiTheme="minorHAnsi" w:hAnsiTheme="minorHAnsi" w:cstheme="minorHAnsi"/>
                <w:sz w:val="22"/>
                <w:szCs w:val="22"/>
              </w:rPr>
              <w:t xml:space="preserve"> PA 25%</w:t>
            </w:r>
          </w:p>
          <w:p w14:paraId="2A7D5505" w14:textId="6CF2F750" w:rsidR="00047958" w:rsidRPr="00DE539D" w:rsidRDefault="009A0FC6" w:rsidP="009A0FC6">
            <w:pPr>
              <w:pStyle w:val="TableRowCentered"/>
              <w:jc w:val="left"/>
              <w:rPr>
                <w:rFonts w:asciiTheme="minorHAnsi" w:hAnsiTheme="minorHAnsi" w:cstheme="minorHAnsi"/>
                <w:sz w:val="22"/>
                <w:szCs w:val="22"/>
              </w:rPr>
            </w:pPr>
            <w:r>
              <w:rPr>
                <w:rFonts w:asciiTheme="minorHAnsi" w:hAnsiTheme="minorHAnsi" w:cstheme="minorHAnsi"/>
                <w:sz w:val="22"/>
                <w:szCs w:val="22"/>
              </w:rPr>
              <w:t xml:space="preserve">July 2023 </w:t>
            </w:r>
            <w:proofErr w:type="spellStart"/>
            <w:r>
              <w:rPr>
                <w:rFonts w:asciiTheme="minorHAnsi" w:hAnsiTheme="minorHAnsi" w:cstheme="minorHAnsi"/>
                <w:sz w:val="22"/>
                <w:szCs w:val="22"/>
              </w:rPr>
              <w:t>Disadv</w:t>
            </w:r>
            <w:proofErr w:type="spellEnd"/>
            <w:r>
              <w:rPr>
                <w:rFonts w:asciiTheme="minorHAnsi" w:hAnsiTheme="minorHAnsi" w:cstheme="minorHAnsi"/>
                <w:sz w:val="22"/>
                <w:szCs w:val="22"/>
              </w:rPr>
              <w:t xml:space="preserve"> PA 11%</w:t>
            </w:r>
          </w:p>
        </w:tc>
      </w:tr>
      <w:tr w:rsidR="0055787F" w:rsidRPr="00DE539D" w14:paraId="24231AA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01839" w14:textId="21FB8B61" w:rsidR="0055787F" w:rsidRPr="00DE539D" w:rsidRDefault="00335451" w:rsidP="00335451">
            <w:pPr>
              <w:pStyle w:val="TableRow"/>
              <w:rPr>
                <w:rFonts w:asciiTheme="minorHAnsi" w:hAnsiTheme="minorHAnsi" w:cstheme="minorHAnsi"/>
                <w:sz w:val="22"/>
                <w:szCs w:val="22"/>
              </w:rPr>
            </w:pPr>
            <w:r w:rsidRPr="00DE539D">
              <w:rPr>
                <w:rFonts w:asciiTheme="minorHAnsi" w:hAnsiTheme="minorHAnsi" w:cstheme="minorHAnsi"/>
                <w:sz w:val="22"/>
                <w:szCs w:val="22"/>
              </w:rPr>
              <w:t>Achieve and sustain improved social and emotional development, skills and well-being for pupils in school for disadvantaged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7B5B9" w14:textId="77777777" w:rsidR="00335451" w:rsidRPr="00DE539D" w:rsidRDefault="00335451" w:rsidP="0033545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Progress is evident between Thrive Online assessments made at the start and end of the academic year.</w:t>
            </w:r>
          </w:p>
          <w:p w14:paraId="5E7E08C3" w14:textId="38DA3388" w:rsidR="0055787F" w:rsidRPr="00DE539D" w:rsidRDefault="00335451" w:rsidP="0033545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 xml:space="preserve">Pupil voice, teaching and learning reviews and incidents of behaviour evidence disadvantaged children engaging positively in school life and the opportunities offered to them </w:t>
            </w:r>
          </w:p>
        </w:tc>
      </w:tr>
      <w:tr w:rsidR="00E66558" w:rsidRPr="00DE539D"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4F98A936" w:rsidR="00E66558" w:rsidRPr="00DE539D" w:rsidRDefault="0055787F" w:rsidP="009A0FC6">
            <w:pPr>
              <w:pStyle w:val="TableRow"/>
              <w:rPr>
                <w:rFonts w:asciiTheme="minorHAnsi" w:hAnsiTheme="minorHAnsi" w:cstheme="minorHAnsi"/>
                <w:sz w:val="22"/>
                <w:szCs w:val="22"/>
              </w:rPr>
            </w:pPr>
            <w:r w:rsidRPr="00DE539D">
              <w:rPr>
                <w:rFonts w:asciiTheme="minorHAnsi" w:hAnsiTheme="minorHAnsi" w:cstheme="minorHAnsi"/>
                <w:sz w:val="22"/>
                <w:szCs w:val="22"/>
              </w:rPr>
              <w:t xml:space="preserve">Improved outcomes in speech, language and communication skills by end of </w:t>
            </w:r>
            <w:r w:rsidR="009A0FC6">
              <w:rPr>
                <w:rFonts w:asciiTheme="minorHAnsi" w:hAnsiTheme="minorHAnsi" w:cstheme="minorHAnsi"/>
                <w:sz w:val="22"/>
                <w:szCs w:val="22"/>
              </w:rPr>
              <w:t>Nursery and Reception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7A8DF" w14:textId="756E22D1" w:rsidR="0055787F" w:rsidRPr="00DE539D" w:rsidRDefault="0055787F" w:rsidP="0055787F">
            <w:pPr>
              <w:pStyle w:val="TableRowCentered"/>
              <w:ind w:left="0"/>
              <w:jc w:val="left"/>
              <w:rPr>
                <w:rFonts w:asciiTheme="minorHAnsi" w:hAnsiTheme="minorHAnsi" w:cstheme="minorHAnsi"/>
                <w:sz w:val="22"/>
                <w:szCs w:val="22"/>
              </w:rPr>
            </w:pPr>
            <w:r w:rsidRPr="00DE539D">
              <w:rPr>
                <w:rFonts w:asciiTheme="minorHAnsi" w:hAnsiTheme="minorHAnsi" w:cstheme="minorHAnsi"/>
                <w:sz w:val="22"/>
                <w:szCs w:val="22"/>
              </w:rPr>
              <w:t xml:space="preserve">% at ARE in listening and attention, understanding, speaking, reading, writing at end of </w:t>
            </w:r>
            <w:r w:rsidR="009A0FC6">
              <w:rPr>
                <w:rFonts w:asciiTheme="minorHAnsi" w:hAnsiTheme="minorHAnsi" w:cstheme="minorHAnsi"/>
                <w:sz w:val="22"/>
                <w:szCs w:val="22"/>
              </w:rPr>
              <w:t>Nursery and Reception</w:t>
            </w:r>
            <w:r w:rsidRPr="00DE539D">
              <w:rPr>
                <w:rFonts w:asciiTheme="minorHAnsi" w:hAnsiTheme="minorHAnsi" w:cstheme="minorHAnsi"/>
                <w:sz w:val="22"/>
                <w:szCs w:val="22"/>
              </w:rPr>
              <w:t xml:space="preserve">, at least in line with national levels and non-disadvantaged peers </w:t>
            </w:r>
          </w:p>
          <w:p w14:paraId="2A7D5508" w14:textId="63261E62" w:rsidR="0055787F" w:rsidRPr="00DE539D" w:rsidRDefault="0055787F" w:rsidP="0055787F">
            <w:pPr>
              <w:pStyle w:val="TableRowCentered"/>
              <w:ind w:left="0"/>
              <w:jc w:val="left"/>
              <w:rPr>
                <w:rFonts w:asciiTheme="minorHAnsi" w:hAnsiTheme="minorHAnsi" w:cstheme="minorHAnsi"/>
                <w:sz w:val="22"/>
                <w:szCs w:val="22"/>
              </w:rPr>
            </w:pPr>
            <w:r w:rsidRPr="00DE539D">
              <w:rPr>
                <w:rFonts w:asciiTheme="minorHAnsi" w:hAnsiTheme="minorHAnsi" w:cstheme="minorHAnsi"/>
                <w:sz w:val="22"/>
                <w:szCs w:val="22"/>
              </w:rPr>
              <w:t xml:space="preserve">Any children not at ARE to have made better than expected progress across EYFS </w:t>
            </w:r>
            <w:proofErr w:type="spellStart"/>
            <w:r w:rsidRPr="00DE539D">
              <w:rPr>
                <w:rFonts w:asciiTheme="minorHAnsi" w:hAnsiTheme="minorHAnsi" w:cstheme="minorHAnsi"/>
                <w:sz w:val="22"/>
                <w:szCs w:val="22"/>
              </w:rPr>
              <w:t>ie</w:t>
            </w:r>
            <w:proofErr w:type="spellEnd"/>
            <w:r w:rsidRPr="00DE539D">
              <w:rPr>
                <w:rFonts w:asciiTheme="minorHAnsi" w:hAnsiTheme="minorHAnsi" w:cstheme="minorHAnsi"/>
                <w:sz w:val="22"/>
                <w:szCs w:val="22"/>
              </w:rPr>
              <w:t xml:space="preserve"> gap is closing</w:t>
            </w:r>
          </w:p>
        </w:tc>
      </w:tr>
      <w:tr w:rsidR="00E66558" w:rsidRPr="00DE539D"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906E660" w:rsidR="00E66558" w:rsidRPr="00DE539D" w:rsidRDefault="0055787F">
            <w:pPr>
              <w:pStyle w:val="TableRow"/>
              <w:rPr>
                <w:rFonts w:asciiTheme="minorHAnsi" w:hAnsiTheme="minorHAnsi" w:cstheme="minorHAnsi"/>
                <w:sz w:val="22"/>
                <w:szCs w:val="22"/>
              </w:rPr>
            </w:pPr>
            <w:r w:rsidRPr="00DE539D">
              <w:rPr>
                <w:rFonts w:asciiTheme="minorHAnsi" w:hAnsiTheme="minorHAnsi" w:cstheme="minorHAnsi"/>
                <w:sz w:val="22"/>
                <w:szCs w:val="22"/>
              </w:rPr>
              <w:t>Improved outcomes in reading, writing and maths at end of KS1</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8F2B93" w14:textId="77777777" w:rsidR="00E66558" w:rsidRPr="00DE539D" w:rsidRDefault="0055787F">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 at ARE in reading, writing and maths at least in line with non-disadvantaged peers and national levels</w:t>
            </w:r>
          </w:p>
          <w:p w14:paraId="2A7D550B" w14:textId="4EC232C7" w:rsidR="0055787F" w:rsidRPr="00DE539D" w:rsidRDefault="0055787F">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 xml:space="preserve">Any children not at ARE to have made better than expected progress across KS1 </w:t>
            </w:r>
            <w:proofErr w:type="spellStart"/>
            <w:r w:rsidRPr="00DE539D">
              <w:rPr>
                <w:rFonts w:asciiTheme="minorHAnsi" w:hAnsiTheme="minorHAnsi" w:cstheme="minorHAnsi"/>
                <w:sz w:val="22"/>
                <w:szCs w:val="22"/>
              </w:rPr>
              <w:t>ie</w:t>
            </w:r>
            <w:proofErr w:type="spellEnd"/>
            <w:r w:rsidRPr="00DE539D">
              <w:rPr>
                <w:rFonts w:asciiTheme="minorHAnsi" w:hAnsiTheme="minorHAnsi" w:cstheme="minorHAnsi"/>
                <w:sz w:val="22"/>
                <w:szCs w:val="22"/>
              </w:rPr>
              <w:t xml:space="preserve"> gap is closing</w:t>
            </w:r>
          </w:p>
        </w:tc>
      </w:tr>
      <w:tr w:rsidR="00E66558" w:rsidRPr="00DE539D"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2D55178E" w:rsidR="00E66558" w:rsidRPr="00DE539D" w:rsidRDefault="0055787F" w:rsidP="0055787F">
            <w:pPr>
              <w:pStyle w:val="TableRow"/>
              <w:ind w:left="0"/>
              <w:rPr>
                <w:rFonts w:asciiTheme="minorHAnsi" w:hAnsiTheme="minorHAnsi" w:cstheme="minorHAnsi"/>
                <w:sz w:val="22"/>
                <w:szCs w:val="22"/>
              </w:rPr>
            </w:pPr>
            <w:r w:rsidRPr="00DE539D">
              <w:rPr>
                <w:rFonts w:asciiTheme="minorHAnsi" w:hAnsiTheme="minorHAnsi" w:cstheme="minorHAnsi"/>
                <w:sz w:val="22"/>
                <w:szCs w:val="22"/>
              </w:rPr>
              <w:t>Increased proportion of disadvantaged children</w:t>
            </w:r>
            <w:r w:rsidR="00335451" w:rsidRPr="00DE539D">
              <w:rPr>
                <w:rFonts w:asciiTheme="minorHAnsi" w:hAnsiTheme="minorHAnsi" w:cstheme="minorHAnsi"/>
                <w:sz w:val="22"/>
                <w:szCs w:val="22"/>
              </w:rPr>
              <w:t xml:space="preserve"> accessing extra-</w:t>
            </w:r>
            <w:r w:rsidRPr="00DE539D">
              <w:rPr>
                <w:rFonts w:asciiTheme="minorHAnsi" w:hAnsiTheme="minorHAnsi" w:cstheme="minorHAnsi"/>
                <w:sz w:val="22"/>
                <w:szCs w:val="22"/>
              </w:rPr>
              <w:t>curricular</w:t>
            </w:r>
            <w:r w:rsidR="00335451" w:rsidRPr="00DE539D">
              <w:rPr>
                <w:rFonts w:asciiTheme="minorHAnsi" w:hAnsiTheme="minorHAnsi" w:cstheme="minorHAnsi"/>
                <w:sz w:val="22"/>
                <w:szCs w:val="22"/>
              </w:rPr>
              <w:t xml:space="preserve"> clubs and enrichment opportunities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006A023" w:rsidR="00E66558" w:rsidRPr="00DE539D" w:rsidRDefault="0055787F">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 disadvantaged children a</w:t>
            </w:r>
            <w:r w:rsidR="009A0FC6">
              <w:rPr>
                <w:rFonts w:asciiTheme="minorHAnsi" w:hAnsiTheme="minorHAnsi" w:cstheme="minorHAnsi"/>
                <w:sz w:val="22"/>
                <w:szCs w:val="22"/>
              </w:rPr>
              <w:t xml:space="preserve">ccessing </w:t>
            </w:r>
            <w:proofErr w:type="spellStart"/>
            <w:r w:rsidR="009A0FC6">
              <w:rPr>
                <w:rFonts w:asciiTheme="minorHAnsi" w:hAnsiTheme="minorHAnsi" w:cstheme="minorHAnsi"/>
                <w:sz w:val="22"/>
                <w:szCs w:val="22"/>
              </w:rPr>
              <w:t>extra curricular</w:t>
            </w:r>
            <w:proofErr w:type="spellEnd"/>
            <w:r w:rsidR="009A0FC6">
              <w:rPr>
                <w:rFonts w:asciiTheme="minorHAnsi" w:hAnsiTheme="minorHAnsi" w:cstheme="minorHAnsi"/>
                <w:sz w:val="22"/>
                <w:szCs w:val="22"/>
              </w:rPr>
              <w:t xml:space="preserve"> clubs increased on 2022/23</w:t>
            </w:r>
            <w:r w:rsidRPr="00DE539D">
              <w:rPr>
                <w:rFonts w:asciiTheme="minorHAnsi" w:hAnsiTheme="minorHAnsi" w:cstheme="minorHAnsi"/>
                <w:sz w:val="22"/>
                <w:szCs w:val="22"/>
              </w:rPr>
              <w:t xml:space="preserve"> levels</w:t>
            </w:r>
          </w:p>
        </w:tc>
      </w:tr>
    </w:tbl>
    <w:p w14:paraId="016975A5" w14:textId="77777777" w:rsidR="00B9188B" w:rsidRPr="00DE539D" w:rsidRDefault="00B9188B" w:rsidP="00B9188B">
      <w:pPr>
        <w:suppressAutoHyphens w:val="0"/>
        <w:spacing w:after="0" w:line="240" w:lineRule="auto"/>
        <w:rPr>
          <w:rFonts w:asciiTheme="minorHAnsi" w:hAnsiTheme="minorHAnsi" w:cstheme="minorHAnsi"/>
          <w:b/>
          <w:color w:val="104F75"/>
          <w:sz w:val="32"/>
          <w:szCs w:val="32"/>
        </w:rPr>
      </w:pPr>
    </w:p>
    <w:p w14:paraId="45D2FEFA" w14:textId="77777777" w:rsidR="00B9188B" w:rsidRPr="00DE539D" w:rsidRDefault="00B9188B" w:rsidP="00B9188B">
      <w:pPr>
        <w:suppressAutoHyphens w:val="0"/>
        <w:spacing w:after="0" w:line="240" w:lineRule="auto"/>
        <w:rPr>
          <w:rFonts w:asciiTheme="minorHAnsi" w:hAnsiTheme="minorHAnsi" w:cstheme="minorHAnsi"/>
          <w:b/>
          <w:color w:val="104F75"/>
          <w:sz w:val="32"/>
          <w:szCs w:val="32"/>
        </w:rPr>
      </w:pPr>
    </w:p>
    <w:p w14:paraId="2A7D5512" w14:textId="235EA840" w:rsidR="00E66558" w:rsidRPr="00DE539D" w:rsidRDefault="009D71E8" w:rsidP="00B9188B">
      <w:pPr>
        <w:suppressAutoHyphens w:val="0"/>
        <w:spacing w:after="0" w:line="240" w:lineRule="auto"/>
        <w:rPr>
          <w:rFonts w:asciiTheme="minorHAnsi" w:hAnsiTheme="minorHAnsi" w:cstheme="minorHAnsi"/>
          <w:b/>
          <w:color w:val="104F75"/>
          <w:sz w:val="32"/>
          <w:szCs w:val="32"/>
        </w:rPr>
      </w:pPr>
      <w:r w:rsidRPr="00DE539D">
        <w:rPr>
          <w:rFonts w:asciiTheme="minorHAnsi" w:hAnsiTheme="minorHAnsi" w:cstheme="minorHAnsi"/>
        </w:rPr>
        <w:t>Activity in this academic year</w:t>
      </w:r>
    </w:p>
    <w:p w14:paraId="2A7D5513" w14:textId="77777777" w:rsidR="00E66558" w:rsidRPr="00DE539D" w:rsidRDefault="009D71E8">
      <w:pPr>
        <w:spacing w:after="480"/>
        <w:rPr>
          <w:rFonts w:asciiTheme="minorHAnsi" w:hAnsiTheme="minorHAnsi" w:cstheme="minorHAnsi"/>
        </w:rPr>
      </w:pPr>
      <w:r w:rsidRPr="00DE539D">
        <w:rPr>
          <w:rFonts w:asciiTheme="minorHAnsi" w:hAnsiTheme="minorHAnsi" w:cstheme="minorHAnsi"/>
        </w:rPr>
        <w:t xml:space="preserve">This details how we intend to spend our pupil premium (and recovery premium funding) </w:t>
      </w:r>
      <w:r w:rsidRPr="00DE539D">
        <w:rPr>
          <w:rFonts w:asciiTheme="minorHAnsi" w:hAnsiTheme="minorHAnsi" w:cstheme="minorHAnsi"/>
          <w:b/>
          <w:bCs/>
        </w:rPr>
        <w:t>this academic year</w:t>
      </w:r>
      <w:r w:rsidRPr="00DE539D">
        <w:rPr>
          <w:rFonts w:asciiTheme="minorHAnsi" w:hAnsiTheme="minorHAnsi" w:cstheme="minorHAnsi"/>
        </w:rPr>
        <w:t xml:space="preserve"> to address the challenges listed above.</w:t>
      </w:r>
    </w:p>
    <w:p w14:paraId="2A7D5514" w14:textId="77777777" w:rsidR="00E66558" w:rsidRPr="00DE539D" w:rsidRDefault="009D71E8">
      <w:pPr>
        <w:pStyle w:val="Heading3"/>
        <w:rPr>
          <w:rFonts w:asciiTheme="minorHAnsi" w:hAnsiTheme="minorHAnsi" w:cstheme="minorHAnsi"/>
        </w:rPr>
      </w:pPr>
      <w:r w:rsidRPr="00DE539D">
        <w:rPr>
          <w:rFonts w:asciiTheme="minorHAnsi" w:hAnsiTheme="minorHAnsi" w:cstheme="minorHAnsi"/>
        </w:rPr>
        <w:t>Teaching (for example, CPD, recruitment and retention)</w:t>
      </w:r>
    </w:p>
    <w:p w14:paraId="2A7D5515" w14:textId="7E3BBED9" w:rsidR="00E66558" w:rsidRPr="00DE539D" w:rsidRDefault="00981DE3">
      <w:pPr>
        <w:rPr>
          <w:rFonts w:asciiTheme="minorHAnsi" w:hAnsiTheme="minorHAnsi" w:cstheme="minorHAnsi"/>
        </w:rPr>
      </w:pPr>
      <w:bookmarkStart w:id="17" w:name="_GoBack"/>
      <w:bookmarkEnd w:id="17"/>
      <w:r w:rsidRPr="003C6201">
        <w:rPr>
          <w:rFonts w:asciiTheme="minorHAnsi" w:hAnsiTheme="minorHAnsi" w:cstheme="minorHAnsi"/>
        </w:rPr>
        <w:t>Budgeted cost: £</w:t>
      </w:r>
      <w:r w:rsidRPr="003C6201">
        <w:rPr>
          <w:rFonts w:asciiTheme="minorHAnsi" w:hAnsiTheme="minorHAnsi" w:cstheme="minorHAnsi"/>
          <w:i/>
          <w:iCs/>
        </w:rPr>
        <w:t>22 000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rsidRPr="00DE539D"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Challenge number(s) addressed</w:t>
            </w:r>
          </w:p>
        </w:tc>
      </w:tr>
      <w:tr w:rsidR="00E66558" w:rsidRPr="00DE539D"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60AFD697" w:rsidR="00E66558" w:rsidRPr="00DE539D" w:rsidRDefault="007C3F33">
            <w:pPr>
              <w:pStyle w:val="TableRow"/>
              <w:rPr>
                <w:rFonts w:asciiTheme="minorHAnsi" w:hAnsiTheme="minorHAnsi" w:cstheme="minorHAnsi"/>
              </w:rPr>
            </w:pPr>
            <w:r w:rsidRPr="00DE539D">
              <w:rPr>
                <w:rFonts w:asciiTheme="minorHAnsi" w:hAnsiTheme="minorHAnsi" w:cstheme="minorHAnsi"/>
                <w:sz w:val="22"/>
                <w:szCs w:val="22"/>
              </w:rPr>
              <w:t>Whole school Thrive training INSET will ensure all teachers and teaching assistants are able to relate, engage and support pupils through the consistent and nurturing approach.</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2891B" w14:textId="77777777" w:rsidR="007C3F33" w:rsidRPr="00DE539D" w:rsidRDefault="007C3F33" w:rsidP="007C3F33">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There is extensive evidence associated with supporting children’s social and emotional development and improving academic outcomes, behaviour and relationships.</w:t>
            </w:r>
          </w:p>
          <w:p w14:paraId="48229FB5" w14:textId="77777777" w:rsidR="007C3F33" w:rsidRPr="00DE539D" w:rsidRDefault="007C3F33" w:rsidP="007C3F33">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Social and Emotional Learning</w:t>
            </w:r>
          </w:p>
          <w:p w14:paraId="2A7D551B" w14:textId="77777777" w:rsidR="00E66558" w:rsidRPr="00DE539D"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355C6DB" w:rsidR="00E66558" w:rsidRPr="00DE539D" w:rsidRDefault="007C3F33">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1</w:t>
            </w:r>
          </w:p>
        </w:tc>
      </w:tr>
      <w:tr w:rsidR="00E66558" w:rsidRPr="00DE539D"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73F51DB" w:rsidR="00E66558" w:rsidRPr="00DE539D" w:rsidRDefault="00B9188B" w:rsidP="00B9188B">
            <w:pPr>
              <w:pStyle w:val="TableRow"/>
              <w:rPr>
                <w:rFonts w:asciiTheme="minorHAnsi" w:hAnsiTheme="minorHAnsi" w:cstheme="minorHAnsi"/>
                <w:sz w:val="22"/>
              </w:rPr>
            </w:pPr>
            <w:r w:rsidRPr="00DE539D">
              <w:rPr>
                <w:rFonts w:asciiTheme="minorHAnsi" w:hAnsiTheme="minorHAnsi" w:cstheme="minorHAnsi"/>
                <w:sz w:val="22"/>
              </w:rPr>
              <w:t>CPD programme of whole staff</w:t>
            </w:r>
            <w:r w:rsidR="007C3F33" w:rsidRPr="00DE539D">
              <w:rPr>
                <w:rFonts w:asciiTheme="minorHAnsi" w:hAnsiTheme="minorHAnsi" w:cstheme="minorHAnsi"/>
                <w:sz w:val="22"/>
              </w:rPr>
              <w:t xml:space="preserve"> training on </w:t>
            </w:r>
            <w:r w:rsidRPr="00DE539D">
              <w:rPr>
                <w:rFonts w:asciiTheme="minorHAnsi" w:hAnsiTheme="minorHAnsi" w:cstheme="minorHAnsi"/>
                <w:sz w:val="22"/>
              </w:rPr>
              <w:t xml:space="preserve">evidence based </w:t>
            </w:r>
            <w:r w:rsidR="007C3F33" w:rsidRPr="00DE539D">
              <w:rPr>
                <w:rFonts w:asciiTheme="minorHAnsi" w:hAnsiTheme="minorHAnsi" w:cstheme="minorHAnsi"/>
                <w:sz w:val="22"/>
              </w:rPr>
              <w:t xml:space="preserve">pedagogical </w:t>
            </w:r>
            <w:r w:rsidRPr="00DE539D">
              <w:rPr>
                <w:rFonts w:asciiTheme="minorHAnsi" w:hAnsiTheme="minorHAnsi" w:cstheme="minorHAnsi"/>
                <w:sz w:val="22"/>
              </w:rPr>
              <w:t>approaches to more effective teaching and learning practice in classrooms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2A77A" w14:textId="41352592" w:rsidR="00FF6561" w:rsidRPr="00DE539D" w:rsidRDefault="00FF6561" w:rsidP="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 xml:space="preserve">There is extensive evidence associated with </w:t>
            </w:r>
            <w:r w:rsidR="00A042D8" w:rsidRPr="00DE539D">
              <w:rPr>
                <w:rFonts w:asciiTheme="minorHAnsi" w:hAnsiTheme="minorHAnsi" w:cstheme="minorHAnsi"/>
                <w:sz w:val="22"/>
                <w:szCs w:val="22"/>
              </w:rPr>
              <w:t>developing high quality teaching, assessment and curriculum to improve outcomes for all children including disadvantaged</w:t>
            </w:r>
          </w:p>
          <w:p w14:paraId="183FD33B" w14:textId="6D957A84" w:rsidR="00FF6561" w:rsidRPr="00DE539D" w:rsidRDefault="00FF6561" w:rsidP="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High Quality Teaching</w:t>
            </w:r>
          </w:p>
          <w:p w14:paraId="2A7D551F" w14:textId="77777777" w:rsidR="00E66558" w:rsidRPr="00DE539D" w:rsidRDefault="00E66558">
            <w:pPr>
              <w:pStyle w:val="TableRowCentered"/>
              <w:jc w:val="left"/>
              <w:rPr>
                <w:rFonts w:asciiTheme="minorHAnsi" w:hAnsiTheme="minorHAnsi" w:cstheme="minorHAnsi"/>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4A6FB" w14:textId="77777777" w:rsidR="00E66558" w:rsidRPr="00DE539D" w:rsidRDefault="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3</w:t>
            </w:r>
          </w:p>
          <w:p w14:paraId="2A7D5520" w14:textId="722BB2CB" w:rsidR="00FF6561" w:rsidRPr="00DE539D" w:rsidRDefault="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4</w:t>
            </w:r>
          </w:p>
        </w:tc>
      </w:tr>
      <w:tr w:rsidR="00FF6561" w:rsidRPr="00DE539D" w14:paraId="265047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738C" w14:textId="4CD5201D" w:rsidR="00FF6561" w:rsidRPr="00DE539D" w:rsidRDefault="00FF6561" w:rsidP="007C3F33">
            <w:pPr>
              <w:pStyle w:val="TableRow"/>
              <w:rPr>
                <w:rFonts w:asciiTheme="minorHAnsi" w:hAnsiTheme="minorHAnsi" w:cstheme="minorHAnsi"/>
                <w:sz w:val="22"/>
              </w:rPr>
            </w:pPr>
            <w:r w:rsidRPr="00DE539D">
              <w:rPr>
                <w:rFonts w:asciiTheme="minorHAnsi" w:hAnsiTheme="minorHAnsi" w:cstheme="minorHAnsi"/>
                <w:sz w:val="22"/>
              </w:rPr>
              <w:t xml:space="preserve">Increased release time for senior leaders </w:t>
            </w:r>
            <w:r w:rsidR="004B5C37">
              <w:rPr>
                <w:rFonts w:asciiTheme="minorHAnsi" w:hAnsiTheme="minorHAnsi" w:cstheme="minorHAnsi"/>
                <w:sz w:val="22"/>
              </w:rPr>
              <w:t xml:space="preserve">and subject leaders </w:t>
            </w:r>
            <w:r w:rsidRPr="00DE539D">
              <w:rPr>
                <w:rFonts w:asciiTheme="minorHAnsi" w:hAnsiTheme="minorHAnsi" w:cstheme="minorHAnsi"/>
                <w:sz w:val="22"/>
              </w:rPr>
              <w:t>to support delivery of quality first teaching across school</w:t>
            </w:r>
            <w:r w:rsidR="004B5C37">
              <w:rPr>
                <w:rFonts w:asciiTheme="minorHAnsi" w:hAnsiTheme="minorHAnsi" w:cstheme="minorHAnsi"/>
                <w:sz w:val="22"/>
              </w:rPr>
              <w:t xml:space="preserve"> and develop their own understanding and practice by collaborating with colleagues in other settings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8A0601" w14:textId="77777777" w:rsidR="00FF6561" w:rsidRPr="00DE539D" w:rsidRDefault="00FF6561" w:rsidP="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There is extensive evidence that providing a coaching and/or mentoring model of professional development can significantly improve teaching and learning  and outcomes for children</w:t>
            </w:r>
          </w:p>
          <w:p w14:paraId="2C9BA418" w14:textId="1E234E87" w:rsidR="00FF6561" w:rsidRPr="00DE539D" w:rsidRDefault="00FF6561" w:rsidP="00FF6561">
            <w:pPr>
              <w:pStyle w:val="TableRowCentered"/>
              <w:ind w:left="0"/>
              <w:jc w:val="left"/>
              <w:rPr>
                <w:rFonts w:asciiTheme="minorHAnsi" w:hAnsiTheme="minorHAnsi" w:cstheme="minorHAnsi"/>
                <w:sz w:val="22"/>
                <w:szCs w:val="22"/>
              </w:rPr>
            </w:pPr>
            <w:r w:rsidRPr="00DE539D">
              <w:rPr>
                <w:rFonts w:asciiTheme="minorHAnsi" w:hAnsiTheme="minorHAnsi" w:cstheme="minorHAnsi"/>
                <w:sz w:val="22"/>
                <w:szCs w:val="22"/>
              </w:rPr>
              <w:t>EEF High Quality Teaching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463885" w14:textId="77777777" w:rsidR="00FF6561" w:rsidRPr="00DE539D" w:rsidRDefault="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3</w:t>
            </w:r>
          </w:p>
          <w:p w14:paraId="69F2E536" w14:textId="78140577" w:rsidR="00FF6561" w:rsidRPr="00DE539D" w:rsidRDefault="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4</w:t>
            </w:r>
          </w:p>
        </w:tc>
      </w:tr>
    </w:tbl>
    <w:p w14:paraId="2A7D5522" w14:textId="51F32660" w:rsidR="00E66558" w:rsidRPr="00DE539D" w:rsidRDefault="00E66558">
      <w:pPr>
        <w:keepNext/>
        <w:spacing w:after="60"/>
        <w:outlineLvl w:val="1"/>
        <w:rPr>
          <w:rFonts w:asciiTheme="minorHAnsi" w:hAnsiTheme="minorHAnsi" w:cstheme="minorHAnsi"/>
        </w:rPr>
      </w:pPr>
    </w:p>
    <w:p w14:paraId="2A7D5523" w14:textId="1DC08891" w:rsidR="00E66558" w:rsidRPr="009D01E1" w:rsidRDefault="009D71E8">
      <w:pPr>
        <w:rPr>
          <w:rFonts w:asciiTheme="minorHAnsi" w:hAnsiTheme="minorHAnsi" w:cstheme="minorHAnsi"/>
          <w:b/>
          <w:bCs/>
          <w:color w:val="104F75"/>
          <w:sz w:val="28"/>
          <w:szCs w:val="28"/>
          <w:highlight w:val="yellow"/>
        </w:rPr>
      </w:pPr>
      <w:r w:rsidRPr="00DE539D">
        <w:rPr>
          <w:rFonts w:asciiTheme="minorHAnsi" w:hAnsiTheme="minorHAnsi" w:cstheme="minorHAnsi"/>
          <w:b/>
          <w:bCs/>
          <w:color w:val="104F75"/>
          <w:sz w:val="28"/>
          <w:szCs w:val="28"/>
        </w:rPr>
        <w:t xml:space="preserve">Targeted academic support (for example, </w:t>
      </w:r>
      <w:r w:rsidR="00D33FE5" w:rsidRPr="00DE539D">
        <w:rPr>
          <w:rFonts w:asciiTheme="minorHAnsi" w:hAnsiTheme="minorHAnsi" w:cstheme="minorHAnsi"/>
          <w:b/>
          <w:bCs/>
          <w:color w:val="104F75"/>
          <w:sz w:val="28"/>
          <w:szCs w:val="28"/>
        </w:rPr>
        <w:t xml:space="preserve">tutoring, one-to-one support </w:t>
      </w:r>
      <w:r w:rsidRPr="00DE539D">
        <w:rPr>
          <w:rFonts w:asciiTheme="minorHAnsi" w:hAnsiTheme="minorHAnsi" w:cstheme="minorHAnsi"/>
          <w:b/>
          <w:bCs/>
          <w:color w:val="104F75"/>
          <w:sz w:val="28"/>
          <w:szCs w:val="28"/>
        </w:rPr>
        <w:t xml:space="preserve">structured </w:t>
      </w:r>
      <w:r w:rsidRPr="009D01E1">
        <w:rPr>
          <w:rFonts w:asciiTheme="minorHAnsi" w:hAnsiTheme="minorHAnsi" w:cstheme="minorHAnsi"/>
          <w:b/>
          <w:bCs/>
          <w:color w:val="104F75"/>
          <w:sz w:val="28"/>
          <w:szCs w:val="28"/>
        </w:rPr>
        <w:t xml:space="preserve">interventions) </w:t>
      </w:r>
    </w:p>
    <w:p w14:paraId="2A7D5524" w14:textId="0EA2C35B" w:rsidR="00E66558" w:rsidRPr="00DE539D" w:rsidRDefault="00981DE3">
      <w:pPr>
        <w:rPr>
          <w:rFonts w:asciiTheme="minorHAnsi" w:hAnsiTheme="minorHAnsi" w:cstheme="minorHAnsi"/>
        </w:rPr>
      </w:pPr>
      <w:r w:rsidRPr="003C6201">
        <w:rPr>
          <w:rFonts w:asciiTheme="minorHAnsi" w:hAnsiTheme="minorHAnsi" w:cstheme="minorHAnsi"/>
        </w:rPr>
        <w:t>Budgeted cost: £</w:t>
      </w:r>
      <w:r w:rsidRPr="003C6201">
        <w:rPr>
          <w:rFonts w:asciiTheme="minorHAnsi" w:hAnsiTheme="minorHAnsi" w:cstheme="minorHAnsi"/>
          <w:i/>
          <w:iCs/>
        </w:rPr>
        <w:t>28 500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rsidRPr="00DE539D" w14:paraId="2A7D5528" w14:textId="77777777" w:rsidTr="00CD5DD8">
        <w:tc>
          <w:tcPr>
            <w:tcW w:w="27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Activity</w:t>
            </w:r>
          </w:p>
        </w:tc>
        <w:tc>
          <w:tcPr>
            <w:tcW w:w="435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Evidence that supports this approach</w:t>
            </w:r>
          </w:p>
        </w:tc>
        <w:tc>
          <w:tcPr>
            <w:tcW w:w="260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Challenge number(s) addressed</w:t>
            </w:r>
          </w:p>
        </w:tc>
      </w:tr>
      <w:tr w:rsidR="00E66558" w:rsidRPr="00DE539D" w14:paraId="2A7D552C" w14:textId="77777777" w:rsidTr="00CD5DD8">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B37376D" w:rsidR="00E66558" w:rsidRPr="00DE539D" w:rsidRDefault="004B5C37" w:rsidP="00A042D8">
            <w:pPr>
              <w:pStyle w:val="TableRow"/>
              <w:rPr>
                <w:rFonts w:asciiTheme="minorHAnsi" w:hAnsiTheme="minorHAnsi" w:cstheme="minorHAnsi"/>
                <w:sz w:val="22"/>
                <w:szCs w:val="22"/>
              </w:rPr>
            </w:pPr>
            <w:r>
              <w:rPr>
                <w:rFonts w:asciiTheme="minorHAnsi" w:hAnsiTheme="minorHAnsi" w:cstheme="minorHAnsi"/>
                <w:sz w:val="22"/>
                <w:szCs w:val="22"/>
              </w:rPr>
              <w:t>Class teachers released</w:t>
            </w:r>
            <w:r w:rsidR="00FF6561" w:rsidRPr="00DE539D">
              <w:rPr>
                <w:rFonts w:asciiTheme="minorHAnsi" w:hAnsiTheme="minorHAnsi" w:cstheme="minorHAnsi"/>
                <w:sz w:val="22"/>
                <w:szCs w:val="22"/>
              </w:rPr>
              <w:t xml:space="preserve"> to </w:t>
            </w:r>
            <w:r w:rsidR="00FF6561" w:rsidRPr="00DE539D">
              <w:rPr>
                <w:rFonts w:asciiTheme="minorHAnsi" w:hAnsiTheme="minorHAnsi" w:cstheme="minorHAnsi"/>
                <w:sz w:val="22"/>
                <w:szCs w:val="22"/>
              </w:rPr>
              <w:lastRenderedPageBreak/>
              <w:t>deliver targeted support for disadvantaged pupils in their class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F30AD" w14:textId="77777777" w:rsidR="00A042D8" w:rsidRPr="00DE539D" w:rsidRDefault="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lastRenderedPageBreak/>
              <w:t xml:space="preserve">Class teachers are best placed to complete </w:t>
            </w:r>
            <w:r w:rsidRPr="00DE539D">
              <w:rPr>
                <w:rFonts w:asciiTheme="minorHAnsi" w:hAnsiTheme="minorHAnsi" w:cstheme="minorHAnsi"/>
                <w:sz w:val="22"/>
                <w:szCs w:val="22"/>
              </w:rPr>
              <w:lastRenderedPageBreak/>
              <w:t xml:space="preserve">intervention groups with targeted children as they know the gaps in learning and misconceptions through the teaching of lessons and marking of books. The </w:t>
            </w:r>
            <w:proofErr w:type="gramStart"/>
            <w:r w:rsidRPr="00DE539D">
              <w:rPr>
                <w:rFonts w:asciiTheme="minorHAnsi" w:hAnsiTheme="minorHAnsi" w:cstheme="minorHAnsi"/>
                <w:sz w:val="22"/>
                <w:szCs w:val="22"/>
              </w:rPr>
              <w:t>teacher has a strong relationship with pupils and are</w:t>
            </w:r>
            <w:proofErr w:type="gramEnd"/>
            <w:r w:rsidRPr="00DE539D">
              <w:rPr>
                <w:rFonts w:asciiTheme="minorHAnsi" w:hAnsiTheme="minorHAnsi" w:cstheme="minorHAnsi"/>
                <w:sz w:val="22"/>
                <w:szCs w:val="22"/>
              </w:rPr>
              <w:t xml:space="preserve"> able to motivate an engage them with learning activities. </w:t>
            </w:r>
          </w:p>
          <w:p w14:paraId="2331027B" w14:textId="77777777" w:rsidR="007C3F33" w:rsidRPr="00DE539D" w:rsidRDefault="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Small Group Tuition</w:t>
            </w:r>
          </w:p>
          <w:p w14:paraId="2A7D552A" w14:textId="2A38EBF9" w:rsidR="00A042D8" w:rsidRPr="00DE539D" w:rsidRDefault="00A042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Feedback</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AF343" w14:textId="77777777" w:rsidR="00E66558" w:rsidRPr="00DE539D" w:rsidRDefault="00CD5D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lastRenderedPageBreak/>
              <w:t>3</w:t>
            </w:r>
          </w:p>
          <w:p w14:paraId="2A7D552B" w14:textId="3B7960B5" w:rsidR="00CD5DD8" w:rsidRPr="00DE539D" w:rsidRDefault="00CD5D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lastRenderedPageBreak/>
              <w:t>4</w:t>
            </w:r>
          </w:p>
        </w:tc>
      </w:tr>
      <w:tr w:rsidR="00CD5DD8" w:rsidRPr="00DE539D" w14:paraId="7C03E483" w14:textId="77777777" w:rsidTr="00CD5DD8">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87E40E" w14:textId="70563A3E" w:rsidR="00CD5DD8" w:rsidRPr="00DE539D" w:rsidRDefault="00CD5DD8" w:rsidP="00A042D8">
            <w:pPr>
              <w:pStyle w:val="TableRow"/>
              <w:rPr>
                <w:rFonts w:asciiTheme="minorHAnsi" w:hAnsiTheme="minorHAnsi" w:cstheme="minorHAnsi"/>
                <w:sz w:val="22"/>
                <w:szCs w:val="22"/>
              </w:rPr>
            </w:pPr>
            <w:r w:rsidRPr="00DE539D">
              <w:rPr>
                <w:rFonts w:asciiTheme="minorHAnsi" w:hAnsiTheme="minorHAnsi" w:cstheme="minorHAnsi"/>
                <w:sz w:val="22"/>
                <w:szCs w:val="22"/>
              </w:rPr>
              <w:lastRenderedPageBreak/>
              <w:t>RWI intervention</w:t>
            </w:r>
            <w:r w:rsidR="00A042D8" w:rsidRPr="00DE539D">
              <w:rPr>
                <w:rFonts w:asciiTheme="minorHAnsi" w:hAnsiTheme="minorHAnsi" w:cstheme="minorHAnsi"/>
                <w:sz w:val="22"/>
                <w:szCs w:val="22"/>
              </w:rPr>
              <w:t>s delivered by RWI TAs for those children making below expected progress</w:t>
            </w:r>
            <w:r w:rsidR="004B5C37">
              <w:rPr>
                <w:rFonts w:asciiTheme="minorHAnsi" w:hAnsiTheme="minorHAnsi" w:cstheme="minorHAnsi"/>
                <w:sz w:val="22"/>
                <w:szCs w:val="22"/>
              </w:rPr>
              <w:t xml:space="preserve"> in phonics</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47DBA" w14:textId="77777777" w:rsidR="00CD5DD8" w:rsidRPr="00DE539D" w:rsidRDefault="00A042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Evidence that specific, targeted support and precision teaching can enable children to “catch up” and make expected levels of progress</w:t>
            </w:r>
          </w:p>
          <w:p w14:paraId="32FBD9AD" w14:textId="77777777" w:rsidR="00A042D8" w:rsidRPr="00DE539D" w:rsidRDefault="00A042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One to One Tuition</w:t>
            </w:r>
          </w:p>
          <w:p w14:paraId="4644C26E" w14:textId="095E04E3" w:rsidR="00A042D8" w:rsidRPr="00DE539D" w:rsidRDefault="00A042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Teaching Assistant Deployment</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56EE4" w14:textId="77777777" w:rsidR="00CD5DD8" w:rsidRPr="00DE539D" w:rsidRDefault="00274290">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3</w:t>
            </w:r>
          </w:p>
          <w:p w14:paraId="56E3CB87" w14:textId="2EDED0E5" w:rsidR="00274290" w:rsidRPr="00DE539D" w:rsidRDefault="00274290">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4</w:t>
            </w:r>
          </w:p>
        </w:tc>
      </w:tr>
      <w:tr w:rsidR="00CD5DD8" w:rsidRPr="00DE539D" w14:paraId="709C4BA4" w14:textId="77777777" w:rsidTr="00CD5DD8">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45A1D" w14:textId="75BAA38E" w:rsidR="00CD5DD8" w:rsidRPr="00DE539D" w:rsidRDefault="00A042D8" w:rsidP="00A042D8">
            <w:pPr>
              <w:pStyle w:val="TableRow"/>
              <w:ind w:left="0"/>
              <w:rPr>
                <w:rFonts w:asciiTheme="minorHAnsi" w:hAnsiTheme="minorHAnsi" w:cstheme="minorHAnsi"/>
                <w:sz w:val="22"/>
                <w:szCs w:val="22"/>
              </w:rPr>
            </w:pPr>
            <w:r w:rsidRPr="00DE539D">
              <w:rPr>
                <w:rFonts w:asciiTheme="minorHAnsi" w:hAnsiTheme="minorHAnsi" w:cstheme="minorHAnsi"/>
                <w:sz w:val="22"/>
                <w:szCs w:val="22"/>
              </w:rPr>
              <w:t xml:space="preserve">Bottom 20% readers a daily focus for all staff in school </w:t>
            </w:r>
            <w:r w:rsidR="000B47FF">
              <w:rPr>
                <w:rFonts w:asciiTheme="minorHAnsi" w:hAnsiTheme="minorHAnsi" w:cstheme="minorHAnsi"/>
                <w:sz w:val="22"/>
                <w:szCs w:val="22"/>
              </w:rPr>
              <w:t xml:space="preserve">and with Reading Fluency Programme </w:t>
            </w:r>
          </w:p>
          <w:p w14:paraId="7182136D" w14:textId="77777777" w:rsidR="00274290" w:rsidRPr="00DE539D" w:rsidRDefault="00274290" w:rsidP="00A042D8">
            <w:pPr>
              <w:pStyle w:val="TableRow"/>
              <w:ind w:left="0"/>
              <w:rPr>
                <w:rFonts w:asciiTheme="minorHAnsi" w:hAnsiTheme="minorHAnsi" w:cstheme="minorHAnsi"/>
                <w:sz w:val="22"/>
                <w:szCs w:val="22"/>
              </w:rPr>
            </w:pPr>
          </w:p>
          <w:p w14:paraId="26303768" w14:textId="77777777" w:rsidR="00274290" w:rsidRPr="00DE539D" w:rsidRDefault="00274290" w:rsidP="00A042D8">
            <w:pPr>
              <w:pStyle w:val="TableRow"/>
              <w:ind w:left="0"/>
              <w:rPr>
                <w:rFonts w:asciiTheme="minorHAnsi" w:hAnsiTheme="minorHAnsi" w:cstheme="minorHAnsi"/>
                <w:sz w:val="22"/>
                <w:szCs w:val="22"/>
              </w:rPr>
            </w:pPr>
          </w:p>
          <w:p w14:paraId="4CC2FB9B" w14:textId="2CFEBC7F" w:rsidR="00274290" w:rsidRPr="00DE539D" w:rsidRDefault="00274290" w:rsidP="00A042D8">
            <w:pPr>
              <w:pStyle w:val="TableRow"/>
              <w:ind w:left="0"/>
              <w:rPr>
                <w:rFonts w:asciiTheme="minorHAnsi" w:hAnsiTheme="minorHAnsi" w:cstheme="minorHAnsi"/>
                <w:sz w:val="22"/>
                <w:szCs w:val="22"/>
              </w:rPr>
            </w:pP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4E34" w14:textId="77777777" w:rsidR="00274290" w:rsidRPr="00DE539D" w:rsidRDefault="00274290" w:rsidP="00274290">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Evidence that specific, targeted support and precision teaching can enable children to “catch up” and make expected levels of progress</w:t>
            </w:r>
          </w:p>
          <w:p w14:paraId="583E0239" w14:textId="77777777" w:rsidR="00274290" w:rsidRPr="00DE539D" w:rsidRDefault="00274290" w:rsidP="00274290">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One to One Tuition</w:t>
            </w:r>
          </w:p>
          <w:p w14:paraId="2CA0D5C4" w14:textId="77777777" w:rsidR="00CD5DD8" w:rsidRPr="00DE539D" w:rsidRDefault="00274290" w:rsidP="00274290">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Teaching Assistant Deployment</w:t>
            </w:r>
          </w:p>
          <w:p w14:paraId="6F3B41DF" w14:textId="29859040" w:rsidR="00274290" w:rsidRPr="00DE539D" w:rsidRDefault="00274290" w:rsidP="00274290">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Peer Tutoring</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BBC73" w14:textId="77777777" w:rsidR="00CD5DD8" w:rsidRPr="00DE539D" w:rsidRDefault="00274290">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3</w:t>
            </w:r>
          </w:p>
          <w:p w14:paraId="3500C00D" w14:textId="0CE204D5" w:rsidR="00274290" w:rsidRPr="00DE539D" w:rsidRDefault="00274290">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4</w:t>
            </w:r>
          </w:p>
          <w:p w14:paraId="6B79290B" w14:textId="77777777" w:rsidR="00274290" w:rsidRPr="00DE539D" w:rsidRDefault="00274290">
            <w:pPr>
              <w:pStyle w:val="TableRowCentered"/>
              <w:jc w:val="left"/>
              <w:rPr>
                <w:rFonts w:asciiTheme="minorHAnsi" w:hAnsiTheme="minorHAnsi" w:cstheme="minorHAnsi"/>
                <w:sz w:val="22"/>
                <w:szCs w:val="22"/>
              </w:rPr>
            </w:pPr>
          </w:p>
          <w:p w14:paraId="22287DB7" w14:textId="77777777" w:rsidR="00274290" w:rsidRPr="00DE539D" w:rsidRDefault="00274290">
            <w:pPr>
              <w:pStyle w:val="TableRowCentered"/>
              <w:jc w:val="left"/>
              <w:rPr>
                <w:rFonts w:asciiTheme="minorHAnsi" w:hAnsiTheme="minorHAnsi" w:cstheme="minorHAnsi"/>
                <w:sz w:val="22"/>
                <w:szCs w:val="22"/>
              </w:rPr>
            </w:pPr>
          </w:p>
          <w:p w14:paraId="066B8C8E" w14:textId="77777777" w:rsidR="00274290" w:rsidRPr="00DE539D" w:rsidRDefault="00274290">
            <w:pPr>
              <w:pStyle w:val="TableRowCentered"/>
              <w:jc w:val="left"/>
              <w:rPr>
                <w:rFonts w:asciiTheme="minorHAnsi" w:hAnsiTheme="minorHAnsi" w:cstheme="minorHAnsi"/>
                <w:sz w:val="22"/>
                <w:szCs w:val="22"/>
              </w:rPr>
            </w:pPr>
          </w:p>
          <w:p w14:paraId="66FBEA77" w14:textId="77777777" w:rsidR="00274290" w:rsidRPr="00DE539D" w:rsidRDefault="00274290">
            <w:pPr>
              <w:pStyle w:val="TableRowCentered"/>
              <w:jc w:val="left"/>
              <w:rPr>
                <w:rFonts w:asciiTheme="minorHAnsi" w:hAnsiTheme="minorHAnsi" w:cstheme="minorHAnsi"/>
                <w:sz w:val="22"/>
                <w:szCs w:val="22"/>
              </w:rPr>
            </w:pPr>
          </w:p>
          <w:p w14:paraId="695ED0FD" w14:textId="77777777" w:rsidR="00274290" w:rsidRPr="00DE539D" w:rsidRDefault="00274290">
            <w:pPr>
              <w:pStyle w:val="TableRowCentered"/>
              <w:jc w:val="left"/>
              <w:rPr>
                <w:rFonts w:asciiTheme="minorHAnsi" w:hAnsiTheme="minorHAnsi" w:cstheme="minorHAnsi"/>
                <w:sz w:val="22"/>
                <w:szCs w:val="22"/>
              </w:rPr>
            </w:pPr>
          </w:p>
          <w:p w14:paraId="4F5AFCAD" w14:textId="77777777" w:rsidR="00274290" w:rsidRPr="00DE539D" w:rsidRDefault="00274290">
            <w:pPr>
              <w:pStyle w:val="TableRowCentered"/>
              <w:jc w:val="left"/>
              <w:rPr>
                <w:rFonts w:asciiTheme="minorHAnsi" w:hAnsiTheme="minorHAnsi" w:cstheme="minorHAnsi"/>
                <w:sz w:val="22"/>
                <w:szCs w:val="22"/>
              </w:rPr>
            </w:pPr>
          </w:p>
        </w:tc>
      </w:tr>
      <w:tr w:rsidR="00CD5DD8" w:rsidRPr="00DE539D" w14:paraId="6A65039B" w14:textId="77777777" w:rsidTr="00CD5DD8">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927E7" w14:textId="124595F4" w:rsidR="00CD5DD8" w:rsidRPr="00DE539D" w:rsidRDefault="00CD5DD8" w:rsidP="00FF6561">
            <w:pPr>
              <w:pStyle w:val="TableRow"/>
              <w:rPr>
                <w:rFonts w:asciiTheme="minorHAnsi" w:hAnsiTheme="minorHAnsi" w:cstheme="minorHAnsi"/>
                <w:sz w:val="22"/>
                <w:szCs w:val="22"/>
              </w:rPr>
            </w:pPr>
            <w:r w:rsidRPr="00DE539D">
              <w:rPr>
                <w:rFonts w:asciiTheme="minorHAnsi" w:hAnsiTheme="minorHAnsi" w:cstheme="minorHAnsi"/>
                <w:sz w:val="22"/>
                <w:szCs w:val="22"/>
              </w:rPr>
              <w:t>Identified C</w:t>
            </w:r>
            <w:r w:rsidR="00274290" w:rsidRPr="00DE539D">
              <w:rPr>
                <w:rFonts w:asciiTheme="minorHAnsi" w:hAnsiTheme="minorHAnsi" w:cstheme="minorHAnsi"/>
                <w:sz w:val="22"/>
                <w:szCs w:val="22"/>
              </w:rPr>
              <w:t>ommunication Teaching Assistant</w:t>
            </w:r>
            <w:r w:rsidRPr="00DE539D">
              <w:rPr>
                <w:rFonts w:asciiTheme="minorHAnsi" w:hAnsiTheme="minorHAnsi" w:cstheme="minorHAnsi"/>
                <w:sz w:val="22"/>
                <w:szCs w:val="22"/>
              </w:rPr>
              <w:t xml:space="preserve"> to be trained to deliver a range of targeted intervention.</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CB9AF" w14:textId="7DB842C3" w:rsidR="00CD5DD8" w:rsidRPr="00DE539D" w:rsidRDefault="00CD5DD8" w:rsidP="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Oral language interventions can have a positive impact on pupil progress and support learning skills across the curriculum. EEF Oral language interventions</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C56A6" w14:textId="25582E08" w:rsidR="00CD5DD8" w:rsidRPr="00DE539D" w:rsidRDefault="00CD5D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3</w:t>
            </w:r>
          </w:p>
        </w:tc>
      </w:tr>
      <w:tr w:rsidR="00CD5DD8" w:rsidRPr="00DE539D" w14:paraId="49C94BD0" w14:textId="77777777" w:rsidTr="00CD5DD8">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52C7A" w14:textId="17F1B0BE" w:rsidR="00CD5DD8" w:rsidRPr="00DE539D" w:rsidRDefault="00CD5DD8" w:rsidP="00FF6561">
            <w:pPr>
              <w:pStyle w:val="TableRow"/>
              <w:rPr>
                <w:rFonts w:asciiTheme="minorHAnsi" w:hAnsiTheme="minorHAnsi" w:cstheme="minorHAnsi"/>
                <w:sz w:val="22"/>
                <w:szCs w:val="22"/>
              </w:rPr>
            </w:pPr>
            <w:r w:rsidRPr="00DE539D">
              <w:rPr>
                <w:rFonts w:asciiTheme="minorHAnsi" w:hAnsiTheme="minorHAnsi" w:cstheme="minorHAnsi"/>
                <w:sz w:val="22"/>
              </w:rPr>
              <w:t xml:space="preserve">Increased release time for </w:t>
            </w:r>
            <w:proofErr w:type="spellStart"/>
            <w:r w:rsidRPr="00DE539D">
              <w:rPr>
                <w:rFonts w:asciiTheme="minorHAnsi" w:hAnsiTheme="minorHAnsi" w:cstheme="minorHAnsi"/>
                <w:sz w:val="22"/>
              </w:rPr>
              <w:t>SENDCo</w:t>
            </w:r>
            <w:proofErr w:type="spellEnd"/>
            <w:r w:rsidRPr="00DE539D">
              <w:rPr>
                <w:rFonts w:asciiTheme="minorHAnsi" w:hAnsiTheme="minorHAnsi" w:cstheme="minorHAnsi"/>
                <w:sz w:val="22"/>
              </w:rPr>
              <w:t xml:space="preserve"> to support delivery of quality first teaching and interventions across school</w:t>
            </w:r>
          </w:p>
        </w:tc>
        <w:tc>
          <w:tcPr>
            <w:tcW w:w="4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9CE633" w14:textId="77777777" w:rsidR="00CD5DD8" w:rsidRPr="00DE539D" w:rsidRDefault="00CD5DD8" w:rsidP="0002384F">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There is extensive evidence that providing a coaching and/or mentoring model of professional development can significantly improve teaching and learning  and outcomes for children</w:t>
            </w:r>
          </w:p>
          <w:p w14:paraId="09E7FC12" w14:textId="2637FA63" w:rsidR="00CD5DD8" w:rsidRPr="00DE539D" w:rsidRDefault="00CD5DD8" w:rsidP="00FF6561">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High Quality Teaching</w:t>
            </w:r>
          </w:p>
        </w:tc>
        <w:tc>
          <w:tcPr>
            <w:tcW w:w="26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8D62DC" w14:textId="77777777" w:rsidR="00CD5DD8" w:rsidRPr="00DE539D" w:rsidRDefault="00CD5DD8" w:rsidP="0002384F">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3</w:t>
            </w:r>
          </w:p>
          <w:p w14:paraId="23BDF769" w14:textId="671662EB" w:rsidR="00CD5DD8" w:rsidRPr="00DE539D" w:rsidRDefault="00CD5D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4</w:t>
            </w:r>
          </w:p>
        </w:tc>
      </w:tr>
    </w:tbl>
    <w:p w14:paraId="2A7D5531" w14:textId="77777777" w:rsidR="00E66558" w:rsidRPr="00DE539D" w:rsidRDefault="00E66558">
      <w:pPr>
        <w:spacing w:after="0"/>
        <w:rPr>
          <w:rFonts w:asciiTheme="minorHAnsi" w:hAnsiTheme="minorHAnsi" w:cstheme="minorHAnsi"/>
          <w:b/>
          <w:color w:val="104F75"/>
          <w:sz w:val="28"/>
          <w:szCs w:val="28"/>
        </w:rPr>
      </w:pPr>
    </w:p>
    <w:p w14:paraId="38E130BD" w14:textId="77777777" w:rsidR="00CD5DD8" w:rsidRPr="00DE539D" w:rsidRDefault="00CD5DD8">
      <w:pPr>
        <w:rPr>
          <w:rFonts w:asciiTheme="minorHAnsi" w:hAnsiTheme="minorHAnsi" w:cstheme="minorHAnsi"/>
          <w:b/>
          <w:color w:val="104F75"/>
          <w:sz w:val="28"/>
          <w:szCs w:val="28"/>
        </w:rPr>
      </w:pPr>
    </w:p>
    <w:p w14:paraId="2A7D5532" w14:textId="59A68BC3" w:rsidR="00E66558" w:rsidRPr="00DE539D" w:rsidRDefault="009D71E8">
      <w:pPr>
        <w:rPr>
          <w:rFonts w:asciiTheme="minorHAnsi" w:hAnsiTheme="minorHAnsi" w:cstheme="minorHAnsi"/>
          <w:b/>
          <w:color w:val="104F75"/>
          <w:sz w:val="28"/>
          <w:szCs w:val="28"/>
        </w:rPr>
      </w:pPr>
      <w:r w:rsidRPr="00DE539D">
        <w:rPr>
          <w:rFonts w:asciiTheme="minorHAnsi" w:hAnsiTheme="minorHAnsi" w:cstheme="minorHAnsi"/>
          <w:b/>
          <w:color w:val="104F75"/>
          <w:sz w:val="28"/>
          <w:szCs w:val="28"/>
        </w:rPr>
        <w:t>Wider strategies (for example, related to attendance, behaviour, wellbeing)</w:t>
      </w:r>
    </w:p>
    <w:p w14:paraId="2A7D5533" w14:textId="028D95F7" w:rsidR="00E66558" w:rsidRPr="00DE539D" w:rsidRDefault="00981DE3">
      <w:pPr>
        <w:spacing w:before="240" w:after="120"/>
        <w:rPr>
          <w:rFonts w:asciiTheme="minorHAnsi" w:hAnsiTheme="minorHAnsi" w:cstheme="minorHAnsi"/>
        </w:rPr>
      </w:pPr>
      <w:r w:rsidRPr="003C6201">
        <w:rPr>
          <w:rFonts w:asciiTheme="minorHAnsi" w:hAnsiTheme="minorHAnsi" w:cstheme="minorHAnsi"/>
        </w:rPr>
        <w:t>Budgeted cost: £</w:t>
      </w:r>
      <w:r w:rsidRPr="003C6201">
        <w:rPr>
          <w:rFonts w:asciiTheme="minorHAnsi" w:hAnsiTheme="minorHAnsi" w:cstheme="minorHAnsi"/>
          <w:i/>
          <w:iCs/>
        </w:rPr>
        <w:t>2 500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rsidRPr="00DE539D"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Challenge number(s) addressed</w:t>
            </w:r>
          </w:p>
        </w:tc>
      </w:tr>
      <w:tr w:rsidR="00E66558" w:rsidRPr="00DE539D"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09AC50D9" w:rsidR="00E66558" w:rsidRPr="00DE539D" w:rsidRDefault="00CD5DD8">
            <w:pPr>
              <w:pStyle w:val="TableRow"/>
              <w:rPr>
                <w:rFonts w:asciiTheme="minorHAnsi" w:hAnsiTheme="minorHAnsi" w:cstheme="minorHAnsi"/>
                <w:sz w:val="22"/>
                <w:szCs w:val="22"/>
              </w:rPr>
            </w:pPr>
            <w:r w:rsidRPr="00DE539D">
              <w:rPr>
                <w:rFonts w:asciiTheme="minorHAnsi" w:hAnsiTheme="minorHAnsi" w:cstheme="minorHAnsi"/>
                <w:sz w:val="22"/>
                <w:szCs w:val="22"/>
              </w:rPr>
              <w:t>Thrive sessions will be delivered on a weekly basis to children who are identified through the Thrive Screening process.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E106FC" w14:textId="77777777" w:rsidR="00CD5DD8" w:rsidRPr="00DE539D" w:rsidRDefault="00CD5D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There is extensive evidence associated with supporting children’s social and emotional development and improving academic outcomes, behaviour and relationships.</w:t>
            </w:r>
          </w:p>
          <w:p w14:paraId="2A7D5539" w14:textId="64EA6D08" w:rsidR="00E66558" w:rsidRPr="00DE539D" w:rsidRDefault="00CD5DD8" w:rsidP="00CD5DD8">
            <w:pPr>
              <w:pStyle w:val="TableRowCentered"/>
              <w:ind w:left="0"/>
              <w:jc w:val="left"/>
              <w:rPr>
                <w:rFonts w:asciiTheme="minorHAnsi" w:hAnsiTheme="minorHAnsi" w:cstheme="minorHAnsi"/>
                <w:sz w:val="22"/>
                <w:szCs w:val="22"/>
              </w:rPr>
            </w:pPr>
            <w:r w:rsidRPr="00DE539D">
              <w:rPr>
                <w:rFonts w:asciiTheme="minorHAnsi" w:hAnsiTheme="minorHAnsi" w:cstheme="minorHAnsi"/>
                <w:sz w:val="22"/>
                <w:szCs w:val="22"/>
              </w:rPr>
              <w:lastRenderedPageBreak/>
              <w:t>EEF Social and Emotional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B7A7B83" w:rsidR="00E66558" w:rsidRPr="00DE539D" w:rsidRDefault="00CD5DD8">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lastRenderedPageBreak/>
              <w:t>1</w:t>
            </w:r>
          </w:p>
        </w:tc>
      </w:tr>
      <w:tr w:rsidR="00E66558" w:rsidRPr="00DE539D"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4FE2CBC2" w:rsidR="00E66558" w:rsidRPr="00DE539D" w:rsidRDefault="00CD5DD8">
            <w:pPr>
              <w:pStyle w:val="TableRow"/>
              <w:rPr>
                <w:rFonts w:asciiTheme="minorHAnsi" w:hAnsiTheme="minorHAnsi" w:cstheme="minorHAnsi"/>
                <w:sz w:val="22"/>
                <w:szCs w:val="22"/>
              </w:rPr>
            </w:pPr>
            <w:r w:rsidRPr="00DE539D">
              <w:rPr>
                <w:rFonts w:asciiTheme="minorHAnsi" w:hAnsiTheme="minorHAnsi" w:cstheme="minorHAnsi"/>
                <w:sz w:val="22"/>
                <w:szCs w:val="22"/>
              </w:rPr>
              <w:lastRenderedPageBreak/>
              <w:t>Come dine with me/lunch club</w:t>
            </w:r>
            <w:r w:rsidR="004407ED" w:rsidRPr="00DE539D">
              <w:rPr>
                <w:rFonts w:asciiTheme="minorHAnsi" w:hAnsiTheme="minorHAnsi" w:cstheme="minorHAnsi"/>
                <w:sz w:val="22"/>
                <w:szCs w:val="22"/>
              </w:rPr>
              <w:t xml:space="preserve"> staff</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CF4B5" w14:textId="77777777" w:rsidR="00EF63D7" w:rsidRPr="00DE539D" w:rsidRDefault="00EF63D7" w:rsidP="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There is extensive evidence associated with supporting children’s social and emotional development and improving academic outcomes, behaviour and relationships.</w:t>
            </w:r>
          </w:p>
          <w:p w14:paraId="2A7D553D" w14:textId="39B4AC34" w:rsidR="00E66558" w:rsidRPr="00DE539D" w:rsidRDefault="00EF63D7" w:rsidP="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Social and Emotional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AAF9FDA" w:rsidR="00E66558" w:rsidRPr="00DE539D" w:rsidRDefault="004407E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1</w:t>
            </w:r>
          </w:p>
        </w:tc>
      </w:tr>
      <w:tr w:rsidR="00CD5DD8" w:rsidRPr="00DE539D" w14:paraId="4A23E2E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466FF" w14:textId="3F2CC2E7" w:rsidR="00CD5DD8" w:rsidRPr="00DE539D" w:rsidRDefault="00CD5DD8" w:rsidP="00DE539D">
            <w:pPr>
              <w:pStyle w:val="TableRow"/>
              <w:rPr>
                <w:rFonts w:asciiTheme="minorHAnsi" w:hAnsiTheme="minorHAnsi" w:cstheme="minorHAnsi"/>
                <w:sz w:val="22"/>
                <w:szCs w:val="22"/>
              </w:rPr>
            </w:pPr>
            <w:r w:rsidRPr="00DE539D">
              <w:rPr>
                <w:rFonts w:asciiTheme="minorHAnsi" w:hAnsiTheme="minorHAnsi" w:cstheme="minorHAnsi"/>
                <w:sz w:val="22"/>
                <w:szCs w:val="22"/>
              </w:rPr>
              <w:t>Funding for perip</w:t>
            </w:r>
            <w:r w:rsidR="00EF63D7" w:rsidRPr="00DE539D">
              <w:rPr>
                <w:rFonts w:asciiTheme="minorHAnsi" w:hAnsiTheme="minorHAnsi" w:cstheme="minorHAnsi"/>
                <w:sz w:val="22"/>
                <w:szCs w:val="22"/>
              </w:rPr>
              <w:t>atetic music lessons and clubs</w:t>
            </w:r>
            <w:r w:rsidR="00DE539D" w:rsidRPr="00DE539D">
              <w:rPr>
                <w:rFonts w:asciiTheme="minorHAnsi" w:hAnsiTheme="minorHAnsi" w:cstheme="minorHAnsi"/>
                <w:sz w:val="22"/>
                <w:szCs w:val="22"/>
              </w:rPr>
              <w:t xml:space="preserve"> </w:t>
            </w:r>
            <w:r w:rsidR="00EF63D7" w:rsidRPr="00DE539D">
              <w:rPr>
                <w:rFonts w:asciiTheme="minorHAnsi" w:hAnsiTheme="minorHAnsi" w:cstheme="minorHAnsi"/>
                <w:sz w:val="22"/>
                <w:szCs w:val="22"/>
              </w:rPr>
              <w:t>(</w:t>
            </w:r>
            <w:r w:rsidRPr="00DE539D">
              <w:rPr>
                <w:rFonts w:asciiTheme="minorHAnsi" w:hAnsiTheme="minorHAnsi" w:cstheme="minorHAnsi"/>
                <w:sz w:val="22"/>
                <w:szCs w:val="22"/>
              </w:rPr>
              <w:t xml:space="preserve">including </w:t>
            </w:r>
            <w:proofErr w:type="spellStart"/>
            <w:r w:rsidRPr="00DE539D">
              <w:rPr>
                <w:rFonts w:asciiTheme="minorHAnsi" w:hAnsiTheme="minorHAnsi" w:cstheme="minorHAnsi"/>
                <w:sz w:val="22"/>
                <w:szCs w:val="22"/>
              </w:rPr>
              <w:t>residentials</w:t>
            </w:r>
            <w:proofErr w:type="spellEnd"/>
            <w:proofErr w:type="gramStart"/>
            <w:r w:rsidR="00EF63D7" w:rsidRPr="00DE539D">
              <w:rPr>
                <w:rFonts w:asciiTheme="minorHAnsi" w:hAnsiTheme="minorHAnsi" w:cstheme="minorHAnsi"/>
                <w:sz w:val="22"/>
                <w:szCs w:val="22"/>
              </w:rPr>
              <w:t xml:space="preserve">) </w:t>
            </w:r>
            <w:r w:rsidRPr="00DE539D">
              <w:rPr>
                <w:rFonts w:asciiTheme="minorHAnsi" w:hAnsiTheme="minorHAnsi" w:cstheme="minorHAnsi"/>
                <w:sz w:val="22"/>
                <w:szCs w:val="22"/>
              </w:rPr>
              <w:t xml:space="preserve"> available</w:t>
            </w:r>
            <w:proofErr w:type="gramEnd"/>
            <w:r w:rsidRPr="00DE539D">
              <w:rPr>
                <w:rFonts w:asciiTheme="minorHAnsi" w:hAnsiTheme="minorHAnsi" w:cstheme="minorHAnsi"/>
                <w:sz w:val="22"/>
                <w:szCs w:val="22"/>
              </w:rPr>
              <w:t xml:space="preserve"> for families in receipt of FSM.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D1CDEE" w14:textId="77777777" w:rsidR="00EF63D7" w:rsidRPr="00DE539D" w:rsidRDefault="00EF63D7">
            <w:pPr>
              <w:pStyle w:val="TableRowCentered"/>
              <w:jc w:val="left"/>
              <w:rPr>
                <w:rFonts w:asciiTheme="minorHAnsi" w:hAnsiTheme="minorHAnsi" w:cstheme="minorHAnsi"/>
                <w:sz w:val="22"/>
                <w:szCs w:val="22"/>
              </w:rPr>
            </w:pPr>
            <w:proofErr w:type="gramStart"/>
            <w:r w:rsidRPr="00DE539D">
              <w:rPr>
                <w:rFonts w:asciiTheme="minorHAnsi" w:hAnsiTheme="minorHAnsi" w:cstheme="minorHAnsi"/>
                <w:sz w:val="22"/>
                <w:szCs w:val="22"/>
              </w:rPr>
              <w:t>he</w:t>
            </w:r>
            <w:proofErr w:type="gramEnd"/>
            <w:r w:rsidRPr="00DE539D">
              <w:rPr>
                <w:rFonts w:asciiTheme="minorHAnsi" w:hAnsiTheme="minorHAnsi" w:cstheme="minorHAnsi"/>
                <w:sz w:val="22"/>
                <w:szCs w:val="22"/>
              </w:rPr>
              <w:t xml:space="preserve"> school family support worker will lead on incentives to promote excellent attendance for all pupils as well as design personalised support for individual families require more support with morning routines. </w:t>
            </w:r>
          </w:p>
          <w:p w14:paraId="65747683" w14:textId="3FF35FDF" w:rsidR="00DE539D" w:rsidRPr="00DE539D" w:rsidRDefault="00DE539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Extracurricular activities, including sports, outdoor activities, arts, culture and trips</w:t>
            </w:r>
          </w:p>
          <w:p w14:paraId="41B7C61A" w14:textId="0B39B04A" w:rsidR="00DE539D" w:rsidRPr="00DE539D" w:rsidRDefault="00DE539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Supporting Attendance</w:t>
            </w:r>
          </w:p>
          <w:p w14:paraId="2E5FF112" w14:textId="5FD602D8" w:rsidR="00CD5DD8"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Attendance interventions rapid evidence assessment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05DF2" w14:textId="77777777" w:rsidR="00CD5DD8" w:rsidRPr="00DE539D" w:rsidRDefault="004407E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1</w:t>
            </w:r>
          </w:p>
          <w:p w14:paraId="1A50F032" w14:textId="77777777" w:rsidR="00EF63D7"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2</w:t>
            </w:r>
          </w:p>
          <w:p w14:paraId="31B00E5D" w14:textId="6F5D55A1" w:rsidR="00EF63D7"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5</w:t>
            </w:r>
          </w:p>
        </w:tc>
      </w:tr>
      <w:tr w:rsidR="00CD5DD8" w:rsidRPr="00DE539D" w14:paraId="76809BB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DFF6F" w14:textId="18AA1FD2" w:rsidR="00CD5DD8" w:rsidRPr="00DE539D" w:rsidRDefault="00CD5DD8">
            <w:pPr>
              <w:pStyle w:val="TableRow"/>
              <w:rPr>
                <w:rFonts w:asciiTheme="minorHAnsi" w:hAnsiTheme="minorHAnsi" w:cstheme="minorHAnsi"/>
                <w:sz w:val="22"/>
                <w:szCs w:val="22"/>
              </w:rPr>
            </w:pPr>
            <w:r w:rsidRPr="00DE539D">
              <w:rPr>
                <w:rFonts w:asciiTheme="minorHAnsi" w:hAnsiTheme="minorHAnsi" w:cstheme="minorHAnsi"/>
                <w:sz w:val="22"/>
                <w:szCs w:val="22"/>
              </w:rPr>
              <w:t>Funding for clubs/</w:t>
            </w:r>
            <w:r w:rsidR="00EF63D7" w:rsidRPr="00DE539D">
              <w:rPr>
                <w:rFonts w:asciiTheme="minorHAnsi" w:hAnsiTheme="minorHAnsi" w:cstheme="minorHAnsi"/>
                <w:sz w:val="22"/>
                <w:szCs w:val="22"/>
              </w:rPr>
              <w:t>sport coaching</w:t>
            </w:r>
            <w:r w:rsidR="004407ED" w:rsidRPr="00DE539D">
              <w:rPr>
                <w:rFonts w:asciiTheme="minorHAnsi" w:hAnsiTheme="minorHAnsi" w:cstheme="minorHAnsi"/>
                <w:sz w:val="22"/>
                <w:szCs w:val="22"/>
              </w:rPr>
              <w:t>/trips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1D962" w14:textId="77777777" w:rsidR="00CD5DD8"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 xml:space="preserve">Engagement in wider opportunities, including </w:t>
            </w:r>
            <w:proofErr w:type="spellStart"/>
            <w:r w:rsidRPr="00DE539D">
              <w:rPr>
                <w:rFonts w:asciiTheme="minorHAnsi" w:hAnsiTheme="minorHAnsi" w:cstheme="minorHAnsi"/>
                <w:sz w:val="22"/>
                <w:szCs w:val="22"/>
              </w:rPr>
              <w:t>residentials</w:t>
            </w:r>
            <w:proofErr w:type="spellEnd"/>
            <w:r w:rsidRPr="00DE539D">
              <w:rPr>
                <w:rFonts w:asciiTheme="minorHAnsi" w:hAnsiTheme="minorHAnsi" w:cstheme="minorHAnsi"/>
                <w:sz w:val="22"/>
                <w:szCs w:val="22"/>
              </w:rPr>
              <w:t xml:space="preserve"> in KS2, supports children to experience cultural, educational and outdoor learning activities that deepen understanding of the curriculum.</w:t>
            </w:r>
          </w:p>
          <w:p w14:paraId="2DC6CD1C" w14:textId="77777777" w:rsidR="00DE539D" w:rsidRPr="00DE539D" w:rsidRDefault="00DE539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Extracurricular activities, including sports, outdoor activities, arts, culture and trips</w:t>
            </w:r>
          </w:p>
          <w:p w14:paraId="3EB76BAF" w14:textId="77777777" w:rsidR="00DE539D" w:rsidRPr="00DE539D" w:rsidRDefault="00DE539D" w:rsidP="00DE539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Supporting Attendance</w:t>
            </w:r>
          </w:p>
          <w:p w14:paraId="295D31BF" w14:textId="1DAB017A" w:rsidR="00DE539D" w:rsidRPr="00DE539D" w:rsidRDefault="00DE539D" w:rsidP="00DE539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Attendance interventions rapid evidence assessment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8C5DE0" w14:textId="77777777" w:rsidR="00CD5DD8" w:rsidRPr="00DE539D" w:rsidRDefault="004407E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1</w:t>
            </w:r>
          </w:p>
          <w:p w14:paraId="4CFA3629" w14:textId="77777777" w:rsidR="00EF63D7"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2</w:t>
            </w:r>
          </w:p>
          <w:p w14:paraId="774A3FDB" w14:textId="3A03E837" w:rsidR="00EF63D7"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5</w:t>
            </w:r>
          </w:p>
        </w:tc>
      </w:tr>
      <w:tr w:rsidR="00EF63D7" w:rsidRPr="00DE539D" w14:paraId="697C123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41330" w14:textId="35FCB04A" w:rsidR="00EF63D7" w:rsidRPr="00DE539D" w:rsidRDefault="00EF63D7">
            <w:pPr>
              <w:pStyle w:val="TableRow"/>
              <w:rPr>
                <w:rFonts w:asciiTheme="minorHAnsi" w:hAnsiTheme="minorHAnsi" w:cstheme="minorHAnsi"/>
                <w:sz w:val="22"/>
                <w:szCs w:val="22"/>
              </w:rPr>
            </w:pPr>
            <w:r w:rsidRPr="00DE539D">
              <w:rPr>
                <w:rFonts w:asciiTheme="minorHAnsi" w:hAnsiTheme="minorHAnsi" w:cstheme="minorHAnsi"/>
                <w:sz w:val="22"/>
                <w:szCs w:val="22"/>
              </w:rPr>
              <w:t>Breakfast Club and daily milk is available to all children and funded for those in receipt of FSM.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FC5AF" w14:textId="77777777" w:rsidR="00EF63D7"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 xml:space="preserve">Providing disadvantaged and vulnerable children a free and healthy breakfast is known to give them a positive start to the day. The early club ensures that children are in school on time and ready to start their learning. </w:t>
            </w:r>
          </w:p>
          <w:p w14:paraId="4CC0EB02" w14:textId="6A944F39" w:rsidR="00EF63D7" w:rsidRPr="00DE539D" w:rsidRDefault="00DE539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Breakfast Clubs and Meal Provision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B5ADC" w14:textId="77777777" w:rsidR="00EF63D7"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1</w:t>
            </w:r>
          </w:p>
          <w:p w14:paraId="4053666D" w14:textId="77777777" w:rsidR="00EF63D7"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2</w:t>
            </w:r>
          </w:p>
          <w:p w14:paraId="20048C03" w14:textId="77E23EB3" w:rsidR="00EF63D7" w:rsidRPr="00DE539D" w:rsidRDefault="00EF63D7">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5</w:t>
            </w:r>
          </w:p>
        </w:tc>
      </w:tr>
      <w:tr w:rsidR="004407ED" w:rsidRPr="00DE539D" w14:paraId="3121AAE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91790" w14:textId="77777777" w:rsidR="004407ED" w:rsidRPr="00DE539D" w:rsidRDefault="004407ED" w:rsidP="0005177C">
            <w:pPr>
              <w:suppressAutoHyphens w:val="0"/>
              <w:autoSpaceDN/>
              <w:spacing w:after="160" w:line="259" w:lineRule="auto"/>
              <w:rPr>
                <w:rFonts w:asciiTheme="minorHAnsi" w:hAnsiTheme="minorHAnsi" w:cstheme="minorHAnsi"/>
                <w:sz w:val="22"/>
                <w:szCs w:val="22"/>
              </w:rPr>
            </w:pPr>
            <w:r w:rsidRPr="00DE539D">
              <w:rPr>
                <w:rFonts w:asciiTheme="minorHAnsi" w:hAnsiTheme="minorHAnsi" w:cstheme="minorHAnsi"/>
                <w:sz w:val="22"/>
                <w:szCs w:val="22"/>
              </w:rPr>
              <w:t>CPD for all staff on “Wor</w:t>
            </w:r>
            <w:r w:rsidRPr="00DE539D">
              <w:rPr>
                <w:rFonts w:asciiTheme="minorHAnsi" w:hAnsiTheme="minorHAnsi" w:cstheme="minorHAnsi"/>
                <w:sz w:val="22"/>
                <w:szCs w:val="22"/>
              </w:rPr>
              <w:t>k</w:t>
            </w:r>
            <w:r w:rsidRPr="00DE539D">
              <w:rPr>
                <w:rFonts w:asciiTheme="minorHAnsi" w:hAnsiTheme="minorHAnsi" w:cstheme="minorHAnsi"/>
                <w:sz w:val="22"/>
                <w:szCs w:val="22"/>
              </w:rPr>
              <w:t>ing Together to Improve School Attendance” (May 2022), adopt recommend</w:t>
            </w:r>
            <w:r w:rsidRPr="00DE539D">
              <w:rPr>
                <w:rFonts w:asciiTheme="minorHAnsi" w:hAnsiTheme="minorHAnsi" w:cstheme="minorHAnsi"/>
                <w:sz w:val="22"/>
                <w:szCs w:val="22"/>
              </w:rPr>
              <w:t>a</w:t>
            </w:r>
            <w:r w:rsidRPr="00DE539D">
              <w:rPr>
                <w:rFonts w:asciiTheme="minorHAnsi" w:hAnsiTheme="minorHAnsi" w:cstheme="minorHAnsi"/>
                <w:sz w:val="22"/>
                <w:szCs w:val="22"/>
              </w:rPr>
              <w:t>tion and share with parents on website and via regular communication</w:t>
            </w:r>
          </w:p>
          <w:p w14:paraId="0569D5F8" w14:textId="77777777" w:rsidR="004407ED" w:rsidRPr="00DE539D" w:rsidRDefault="004407ED" w:rsidP="0005177C">
            <w:pPr>
              <w:suppressAutoHyphens w:val="0"/>
              <w:autoSpaceDN/>
              <w:spacing w:after="160" w:line="259" w:lineRule="auto"/>
              <w:rPr>
                <w:rFonts w:asciiTheme="minorHAnsi" w:hAnsiTheme="minorHAnsi" w:cstheme="minorHAnsi"/>
                <w:sz w:val="22"/>
                <w:szCs w:val="22"/>
              </w:rPr>
            </w:pPr>
            <w:r w:rsidRPr="00DE539D">
              <w:rPr>
                <w:rFonts w:asciiTheme="minorHAnsi" w:hAnsiTheme="minorHAnsi" w:cstheme="minorHAnsi"/>
                <w:sz w:val="22"/>
                <w:szCs w:val="22"/>
              </w:rPr>
              <w:t>Redesign and implement methods by which good attendance is celebrated and showcased in school and amongst parents incl. use of Mental Health A</w:t>
            </w:r>
            <w:r w:rsidRPr="00DE539D">
              <w:rPr>
                <w:rFonts w:asciiTheme="minorHAnsi" w:hAnsiTheme="minorHAnsi" w:cstheme="minorHAnsi"/>
                <w:sz w:val="22"/>
                <w:szCs w:val="22"/>
              </w:rPr>
              <w:t>m</w:t>
            </w:r>
            <w:r w:rsidRPr="00DE539D">
              <w:rPr>
                <w:rFonts w:asciiTheme="minorHAnsi" w:hAnsiTheme="minorHAnsi" w:cstheme="minorHAnsi"/>
                <w:sz w:val="22"/>
                <w:szCs w:val="22"/>
              </w:rPr>
              <w:lastRenderedPageBreak/>
              <w:t>bassadors and School Cou</w:t>
            </w:r>
            <w:r w:rsidRPr="00DE539D">
              <w:rPr>
                <w:rFonts w:asciiTheme="minorHAnsi" w:hAnsiTheme="minorHAnsi" w:cstheme="minorHAnsi"/>
                <w:sz w:val="22"/>
                <w:szCs w:val="22"/>
              </w:rPr>
              <w:t>n</w:t>
            </w:r>
            <w:r w:rsidRPr="00DE539D">
              <w:rPr>
                <w:rFonts w:asciiTheme="minorHAnsi" w:hAnsiTheme="minorHAnsi" w:cstheme="minorHAnsi"/>
                <w:sz w:val="22"/>
                <w:szCs w:val="22"/>
              </w:rPr>
              <w:t xml:space="preserve">cil to collect, report on and celebrate good attendance amongst their peers </w:t>
            </w:r>
            <w:proofErr w:type="spellStart"/>
            <w:r w:rsidRPr="00DE539D">
              <w:rPr>
                <w:rFonts w:asciiTheme="minorHAnsi" w:hAnsiTheme="minorHAnsi" w:cstheme="minorHAnsi"/>
                <w:sz w:val="22"/>
                <w:szCs w:val="22"/>
              </w:rPr>
              <w:t>eg</w:t>
            </w:r>
            <w:proofErr w:type="spellEnd"/>
            <w:r w:rsidRPr="00DE539D">
              <w:rPr>
                <w:rFonts w:asciiTheme="minorHAnsi" w:hAnsiTheme="minorHAnsi" w:cstheme="minorHAnsi"/>
                <w:sz w:val="22"/>
                <w:szCs w:val="22"/>
              </w:rPr>
              <w:t xml:space="preserve"> in newsletters/weekly website updates and texts</w:t>
            </w:r>
          </w:p>
          <w:p w14:paraId="484238BA" w14:textId="77777777" w:rsidR="004407ED" w:rsidRPr="00DE539D" w:rsidRDefault="004407ED" w:rsidP="0005177C">
            <w:pPr>
              <w:suppressAutoHyphens w:val="0"/>
              <w:autoSpaceDN/>
              <w:spacing w:after="160" w:line="259" w:lineRule="auto"/>
              <w:rPr>
                <w:rFonts w:asciiTheme="minorHAnsi" w:hAnsiTheme="minorHAnsi" w:cstheme="minorHAnsi"/>
                <w:sz w:val="22"/>
                <w:szCs w:val="22"/>
              </w:rPr>
            </w:pPr>
            <w:r w:rsidRPr="00DE539D">
              <w:rPr>
                <w:rFonts w:asciiTheme="minorHAnsi" w:hAnsiTheme="minorHAnsi" w:cstheme="minorHAnsi"/>
                <w:sz w:val="22"/>
                <w:szCs w:val="22"/>
              </w:rPr>
              <w:t>Implement new system for daily monitoring with new office staff: focus on priority PA/PP children (from wee</w:t>
            </w:r>
            <w:r w:rsidRPr="00DE539D">
              <w:rPr>
                <w:rFonts w:asciiTheme="minorHAnsi" w:hAnsiTheme="minorHAnsi" w:cstheme="minorHAnsi"/>
                <w:sz w:val="22"/>
                <w:szCs w:val="22"/>
              </w:rPr>
              <w:t>k</w:t>
            </w:r>
            <w:r w:rsidRPr="00DE539D">
              <w:rPr>
                <w:rFonts w:asciiTheme="minorHAnsi" w:hAnsiTheme="minorHAnsi" w:cstheme="minorHAnsi"/>
                <w:sz w:val="22"/>
                <w:szCs w:val="22"/>
              </w:rPr>
              <w:t>ly tracking) daily with me</w:t>
            </w:r>
            <w:r w:rsidRPr="00DE539D">
              <w:rPr>
                <w:rFonts w:asciiTheme="minorHAnsi" w:hAnsiTheme="minorHAnsi" w:cstheme="minorHAnsi"/>
                <w:sz w:val="22"/>
                <w:szCs w:val="22"/>
              </w:rPr>
              <w:t>m</w:t>
            </w:r>
            <w:r w:rsidRPr="00DE539D">
              <w:rPr>
                <w:rFonts w:asciiTheme="minorHAnsi" w:hAnsiTheme="minorHAnsi" w:cstheme="minorHAnsi"/>
                <w:sz w:val="22"/>
                <w:szCs w:val="22"/>
              </w:rPr>
              <w:t>ber of SLT</w:t>
            </w:r>
          </w:p>
          <w:p w14:paraId="2F8702CD" w14:textId="77777777" w:rsidR="004407ED" w:rsidRPr="00DE539D" w:rsidRDefault="004407ED" w:rsidP="0005177C">
            <w:pPr>
              <w:suppressAutoHyphens w:val="0"/>
              <w:autoSpaceDN/>
              <w:spacing w:after="160" w:line="259" w:lineRule="auto"/>
              <w:rPr>
                <w:rFonts w:asciiTheme="minorHAnsi" w:hAnsiTheme="minorHAnsi" w:cstheme="minorHAnsi"/>
                <w:sz w:val="22"/>
                <w:szCs w:val="22"/>
              </w:rPr>
            </w:pPr>
            <w:r w:rsidRPr="00DE539D">
              <w:rPr>
                <w:rFonts w:asciiTheme="minorHAnsi" w:hAnsiTheme="minorHAnsi" w:cstheme="minorHAnsi"/>
                <w:sz w:val="22"/>
                <w:szCs w:val="22"/>
              </w:rPr>
              <w:t>Maintain weekly analysis of attendance and respond daily to persistent absence</w:t>
            </w:r>
          </w:p>
          <w:p w14:paraId="69833408" w14:textId="77777777" w:rsidR="004407ED" w:rsidRPr="00DE539D" w:rsidRDefault="004407ED" w:rsidP="0005177C">
            <w:pPr>
              <w:suppressAutoHyphens w:val="0"/>
              <w:autoSpaceDN/>
              <w:spacing w:after="160" w:line="259" w:lineRule="auto"/>
              <w:rPr>
                <w:rFonts w:asciiTheme="minorHAnsi" w:hAnsiTheme="minorHAnsi" w:cstheme="minorHAnsi"/>
                <w:sz w:val="22"/>
                <w:szCs w:val="22"/>
              </w:rPr>
            </w:pPr>
            <w:r w:rsidRPr="00DE539D">
              <w:rPr>
                <w:rFonts w:asciiTheme="minorHAnsi" w:hAnsiTheme="minorHAnsi" w:cstheme="minorHAnsi"/>
                <w:sz w:val="22"/>
                <w:szCs w:val="22"/>
              </w:rPr>
              <w:t>Refer to Local Authority  for Fixed Penalty Notices for PA</w:t>
            </w:r>
          </w:p>
          <w:p w14:paraId="697014A2" w14:textId="554363F1" w:rsidR="004407ED" w:rsidRPr="00DE539D" w:rsidRDefault="004407ED" w:rsidP="0005177C">
            <w:pPr>
              <w:suppressAutoHyphens w:val="0"/>
              <w:autoSpaceDN/>
              <w:spacing w:after="160" w:line="259" w:lineRule="auto"/>
              <w:rPr>
                <w:rFonts w:asciiTheme="minorHAnsi" w:hAnsiTheme="minorHAnsi" w:cstheme="minorHAnsi"/>
                <w:sz w:val="22"/>
                <w:szCs w:val="22"/>
              </w:rPr>
            </w:pPr>
            <w:r w:rsidRPr="00DE539D">
              <w:rPr>
                <w:rFonts w:asciiTheme="minorHAnsi" w:hAnsiTheme="minorHAnsi" w:cstheme="minorHAnsi"/>
                <w:sz w:val="22"/>
                <w:szCs w:val="22"/>
              </w:rPr>
              <w:t>Collaborate with similar schools with lower PA to share and understand best practice in improving PA f</w:t>
            </w:r>
            <w:r w:rsidR="009D01E1">
              <w:rPr>
                <w:rFonts w:asciiTheme="minorHAnsi" w:hAnsiTheme="minorHAnsi" w:cstheme="minorHAnsi"/>
                <w:sz w:val="22"/>
                <w:szCs w:val="22"/>
              </w:rPr>
              <w:t xml:space="preserve">igures and attendance amongst </w:t>
            </w:r>
            <w:proofErr w:type="spellStart"/>
            <w:r w:rsidR="009D01E1">
              <w:rPr>
                <w:rFonts w:asciiTheme="minorHAnsi" w:hAnsiTheme="minorHAnsi" w:cstheme="minorHAnsi"/>
                <w:sz w:val="22"/>
                <w:szCs w:val="22"/>
              </w:rPr>
              <w:t>Disadv</w:t>
            </w:r>
            <w:proofErr w:type="spellEnd"/>
            <w:r w:rsidRPr="00DE539D">
              <w:rPr>
                <w:rFonts w:asciiTheme="minorHAnsi" w:hAnsiTheme="minorHAnsi" w:cstheme="minorHAnsi"/>
                <w:sz w:val="22"/>
                <w:szCs w:val="22"/>
              </w:rPr>
              <w:t xml:space="preserve"> group </w:t>
            </w:r>
            <w:r w:rsidR="009D01E1">
              <w:rPr>
                <w:rFonts w:asciiTheme="minorHAnsi" w:hAnsiTheme="minorHAnsi" w:cstheme="minorHAnsi"/>
                <w:sz w:val="22"/>
                <w:szCs w:val="22"/>
              </w:rPr>
              <w:t>(Black Pear Multi Academy Trust)</w:t>
            </w:r>
          </w:p>
          <w:p w14:paraId="2977C90A" w14:textId="77777777" w:rsidR="004407ED" w:rsidRPr="00DE539D" w:rsidRDefault="004407ED" w:rsidP="0005177C">
            <w:pPr>
              <w:suppressAutoHyphens w:val="0"/>
              <w:autoSpaceDN/>
              <w:spacing w:after="160" w:line="259" w:lineRule="auto"/>
              <w:rPr>
                <w:rFonts w:asciiTheme="minorHAnsi" w:hAnsiTheme="minorHAnsi" w:cstheme="minorHAnsi"/>
                <w:sz w:val="22"/>
                <w:szCs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58404" w14:textId="464A5E59" w:rsidR="004407ED" w:rsidRPr="00DE539D" w:rsidRDefault="00DE539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lastRenderedPageBreak/>
              <w:t>There is extensive evidence that regular, punctual attendance will improve outcomes for children</w:t>
            </w:r>
          </w:p>
          <w:p w14:paraId="7368430C" w14:textId="31F68AE2" w:rsidR="00DE539D" w:rsidRPr="00DE539D" w:rsidRDefault="00DE539D">
            <w:pPr>
              <w:pStyle w:val="TableRowCentered"/>
              <w:jc w:val="left"/>
              <w:rPr>
                <w:rFonts w:asciiTheme="minorHAnsi" w:hAnsiTheme="minorHAnsi" w:cstheme="minorHAnsi"/>
                <w:sz w:val="22"/>
                <w:szCs w:val="22"/>
              </w:rPr>
            </w:pPr>
            <w:r w:rsidRPr="00DE539D">
              <w:rPr>
                <w:rFonts w:asciiTheme="minorHAnsi" w:hAnsiTheme="minorHAnsi" w:cstheme="minorHAnsi"/>
                <w:sz w:val="22"/>
                <w:szCs w:val="22"/>
              </w:rPr>
              <w:t>EEF Attendance interventions rapid evidence assessment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8DF4" w14:textId="77777777" w:rsidR="00DE539D" w:rsidRDefault="00DE539D">
            <w:pPr>
              <w:pStyle w:val="TableRowCentered"/>
              <w:jc w:val="left"/>
              <w:rPr>
                <w:rFonts w:asciiTheme="minorHAnsi" w:hAnsiTheme="minorHAnsi" w:cstheme="minorHAnsi"/>
                <w:sz w:val="22"/>
                <w:szCs w:val="22"/>
              </w:rPr>
            </w:pPr>
            <w:r>
              <w:rPr>
                <w:rFonts w:asciiTheme="minorHAnsi" w:hAnsiTheme="minorHAnsi" w:cstheme="minorHAnsi"/>
                <w:sz w:val="22"/>
                <w:szCs w:val="22"/>
              </w:rPr>
              <w:t>1</w:t>
            </w:r>
          </w:p>
          <w:p w14:paraId="231A0E95" w14:textId="77777777" w:rsidR="00DE539D" w:rsidRDefault="00DE539D">
            <w:pPr>
              <w:pStyle w:val="TableRowCentered"/>
              <w:jc w:val="left"/>
              <w:rPr>
                <w:rFonts w:asciiTheme="minorHAnsi" w:hAnsiTheme="minorHAnsi" w:cstheme="minorHAnsi"/>
                <w:sz w:val="22"/>
                <w:szCs w:val="22"/>
              </w:rPr>
            </w:pPr>
            <w:r>
              <w:rPr>
                <w:rFonts w:asciiTheme="minorHAnsi" w:hAnsiTheme="minorHAnsi" w:cstheme="minorHAnsi"/>
                <w:sz w:val="22"/>
                <w:szCs w:val="22"/>
              </w:rPr>
              <w:t>2</w:t>
            </w:r>
          </w:p>
          <w:p w14:paraId="6899FA91" w14:textId="77777777" w:rsidR="00DE539D" w:rsidRDefault="00DE539D">
            <w:pPr>
              <w:pStyle w:val="TableRowCentered"/>
              <w:jc w:val="left"/>
              <w:rPr>
                <w:rFonts w:asciiTheme="minorHAnsi" w:hAnsiTheme="minorHAnsi" w:cstheme="minorHAnsi"/>
                <w:sz w:val="22"/>
                <w:szCs w:val="22"/>
              </w:rPr>
            </w:pPr>
            <w:r>
              <w:rPr>
                <w:rFonts w:asciiTheme="minorHAnsi" w:hAnsiTheme="minorHAnsi" w:cstheme="minorHAnsi"/>
                <w:sz w:val="22"/>
                <w:szCs w:val="22"/>
              </w:rPr>
              <w:t>3</w:t>
            </w:r>
          </w:p>
          <w:p w14:paraId="71F68FE2" w14:textId="77777777" w:rsidR="00DE539D" w:rsidRDefault="00DE539D">
            <w:pPr>
              <w:pStyle w:val="TableRowCentered"/>
              <w:jc w:val="left"/>
              <w:rPr>
                <w:rFonts w:asciiTheme="minorHAnsi" w:hAnsiTheme="minorHAnsi" w:cstheme="minorHAnsi"/>
                <w:sz w:val="22"/>
                <w:szCs w:val="22"/>
              </w:rPr>
            </w:pPr>
            <w:r>
              <w:rPr>
                <w:rFonts w:asciiTheme="minorHAnsi" w:hAnsiTheme="minorHAnsi" w:cstheme="minorHAnsi"/>
                <w:sz w:val="22"/>
                <w:szCs w:val="22"/>
              </w:rPr>
              <w:t>4</w:t>
            </w:r>
          </w:p>
          <w:p w14:paraId="01E108F7" w14:textId="5108FE43" w:rsidR="004407ED" w:rsidRPr="00DE539D" w:rsidRDefault="00DE539D" w:rsidP="00DE539D">
            <w:pPr>
              <w:pStyle w:val="TableRowCentered"/>
              <w:jc w:val="left"/>
              <w:rPr>
                <w:rFonts w:asciiTheme="minorHAnsi" w:hAnsiTheme="minorHAnsi" w:cstheme="minorHAnsi"/>
                <w:sz w:val="22"/>
                <w:szCs w:val="22"/>
              </w:rPr>
            </w:pPr>
            <w:r>
              <w:rPr>
                <w:rFonts w:asciiTheme="minorHAnsi" w:hAnsiTheme="minorHAnsi" w:cstheme="minorHAnsi"/>
                <w:sz w:val="22"/>
                <w:szCs w:val="22"/>
              </w:rPr>
              <w:t>5</w:t>
            </w:r>
          </w:p>
        </w:tc>
      </w:tr>
    </w:tbl>
    <w:p w14:paraId="155E08C4" w14:textId="77777777" w:rsidR="009D01E1" w:rsidRDefault="009D01E1" w:rsidP="00120AB1">
      <w:pPr>
        <w:rPr>
          <w:rFonts w:asciiTheme="minorHAnsi" w:hAnsiTheme="minorHAnsi" w:cstheme="minorHAnsi"/>
          <w:b/>
          <w:bCs/>
          <w:color w:val="104F75"/>
          <w:sz w:val="28"/>
          <w:szCs w:val="28"/>
        </w:rPr>
      </w:pPr>
    </w:p>
    <w:p w14:paraId="2A7D5541" w14:textId="5134696D" w:rsidR="00E66558" w:rsidRPr="00DE539D" w:rsidRDefault="009D71E8" w:rsidP="00120AB1">
      <w:pPr>
        <w:rPr>
          <w:rFonts w:asciiTheme="minorHAnsi" w:hAnsiTheme="minorHAnsi" w:cstheme="minorHAnsi"/>
        </w:rPr>
      </w:pPr>
      <w:r w:rsidRPr="003C6201">
        <w:rPr>
          <w:rFonts w:asciiTheme="minorHAnsi" w:hAnsiTheme="minorHAnsi" w:cstheme="minorHAnsi"/>
          <w:b/>
          <w:bCs/>
          <w:color w:val="104F75"/>
          <w:sz w:val="28"/>
          <w:szCs w:val="28"/>
        </w:rPr>
        <w:t xml:space="preserve">Total budgeted cost: £ </w:t>
      </w:r>
      <w:r w:rsidR="00981DE3" w:rsidRPr="003C6201">
        <w:rPr>
          <w:rFonts w:asciiTheme="minorHAnsi" w:hAnsiTheme="minorHAnsi" w:cstheme="minorHAnsi"/>
          <w:b/>
          <w:bCs/>
          <w:color w:val="104F75"/>
          <w:sz w:val="28"/>
          <w:szCs w:val="28"/>
        </w:rPr>
        <w:t>53 000</w:t>
      </w:r>
    </w:p>
    <w:p w14:paraId="2A7D5542" w14:textId="77777777" w:rsidR="00E66558" w:rsidRDefault="009D71E8">
      <w:pPr>
        <w:pStyle w:val="Heading1"/>
        <w:rPr>
          <w:rFonts w:asciiTheme="minorHAnsi" w:hAnsiTheme="minorHAnsi" w:cstheme="minorHAnsi"/>
        </w:rPr>
      </w:pPr>
      <w:r w:rsidRPr="00DE539D">
        <w:rPr>
          <w:rFonts w:asciiTheme="minorHAnsi" w:hAnsiTheme="minorHAnsi" w:cstheme="minorHAnsi"/>
        </w:rPr>
        <w:lastRenderedPageBreak/>
        <w:t>Part B: Review of outcomes in the previous academic year</w:t>
      </w:r>
    </w:p>
    <w:tbl>
      <w:tblPr>
        <w:tblStyle w:val="TableGrid"/>
        <w:tblpPr w:leftFromText="180" w:rightFromText="180" w:vertAnchor="page" w:horzAnchor="margin" w:tblpY="2688"/>
        <w:tblW w:w="10149" w:type="dxa"/>
        <w:tblLook w:val="04A0" w:firstRow="1" w:lastRow="0" w:firstColumn="1" w:lastColumn="0" w:noHBand="0" w:noVBand="1"/>
      </w:tblPr>
      <w:tblGrid>
        <w:gridCol w:w="1604"/>
        <w:gridCol w:w="986"/>
        <w:gridCol w:w="1248"/>
        <w:gridCol w:w="1249"/>
        <w:gridCol w:w="1258"/>
        <w:gridCol w:w="3804"/>
      </w:tblGrid>
      <w:tr w:rsidR="00031302" w:rsidRPr="009C73A8" w14:paraId="0484A1EE" w14:textId="77777777" w:rsidTr="00965E5B">
        <w:trPr>
          <w:trHeight w:val="555"/>
        </w:trPr>
        <w:tc>
          <w:tcPr>
            <w:tcW w:w="1604" w:type="dxa"/>
            <w:shd w:val="clear" w:color="auto" w:fill="DBE5F1" w:themeFill="accent1" w:themeFillTint="33"/>
          </w:tcPr>
          <w:p w14:paraId="7EA29E9A" w14:textId="75F2C3AA" w:rsidR="00031302" w:rsidRPr="00031302" w:rsidRDefault="00031302" w:rsidP="00965E5B">
            <w:pPr>
              <w:jc w:val="center"/>
              <w:rPr>
                <w:b/>
                <w:bCs/>
                <w:sz w:val="22"/>
                <w:szCs w:val="22"/>
              </w:rPr>
            </w:pPr>
            <w:r>
              <w:rPr>
                <w:b/>
                <w:bCs/>
                <w:sz w:val="22"/>
                <w:szCs w:val="22"/>
              </w:rPr>
              <w:t>Assessment</w:t>
            </w:r>
          </w:p>
        </w:tc>
        <w:tc>
          <w:tcPr>
            <w:tcW w:w="986" w:type="dxa"/>
            <w:shd w:val="clear" w:color="auto" w:fill="DBE5F1" w:themeFill="accent1" w:themeFillTint="33"/>
          </w:tcPr>
          <w:p w14:paraId="3FAB7A26" w14:textId="25FA6978" w:rsidR="00031302" w:rsidRPr="00031302" w:rsidRDefault="00031302" w:rsidP="00965E5B">
            <w:pPr>
              <w:jc w:val="center"/>
              <w:rPr>
                <w:b/>
                <w:bCs/>
                <w:sz w:val="22"/>
                <w:szCs w:val="22"/>
              </w:rPr>
            </w:pPr>
            <w:proofErr w:type="spellStart"/>
            <w:r w:rsidRPr="00031302">
              <w:rPr>
                <w:b/>
                <w:bCs/>
                <w:sz w:val="22"/>
                <w:szCs w:val="22"/>
              </w:rPr>
              <w:t>Disadv</w:t>
            </w:r>
            <w:proofErr w:type="spellEnd"/>
            <w:r w:rsidRPr="00031302">
              <w:rPr>
                <w:b/>
                <w:bCs/>
                <w:sz w:val="22"/>
                <w:szCs w:val="22"/>
              </w:rPr>
              <w:t xml:space="preserve"> children in </w:t>
            </w:r>
            <w:r w:rsidR="00545353">
              <w:rPr>
                <w:b/>
                <w:bCs/>
                <w:sz w:val="22"/>
                <w:szCs w:val="22"/>
              </w:rPr>
              <w:t>c</w:t>
            </w:r>
            <w:r w:rsidRPr="00031302">
              <w:rPr>
                <w:b/>
                <w:bCs/>
                <w:sz w:val="22"/>
                <w:szCs w:val="22"/>
              </w:rPr>
              <w:t>ohort</w:t>
            </w:r>
          </w:p>
        </w:tc>
        <w:tc>
          <w:tcPr>
            <w:tcW w:w="2497" w:type="dxa"/>
            <w:gridSpan w:val="2"/>
            <w:shd w:val="clear" w:color="auto" w:fill="DBE5F1" w:themeFill="accent1" w:themeFillTint="33"/>
          </w:tcPr>
          <w:p w14:paraId="3079D58D" w14:textId="1999AF87" w:rsidR="00031302" w:rsidRPr="00031302" w:rsidRDefault="00031302" w:rsidP="00965E5B">
            <w:pPr>
              <w:jc w:val="center"/>
              <w:rPr>
                <w:b/>
                <w:bCs/>
                <w:sz w:val="22"/>
                <w:szCs w:val="22"/>
              </w:rPr>
            </w:pPr>
            <w:r w:rsidRPr="00031302">
              <w:rPr>
                <w:b/>
                <w:bCs/>
                <w:sz w:val="22"/>
                <w:szCs w:val="22"/>
              </w:rPr>
              <w:t xml:space="preserve">% </w:t>
            </w:r>
            <w:proofErr w:type="spellStart"/>
            <w:r w:rsidRPr="00031302">
              <w:rPr>
                <w:b/>
                <w:bCs/>
                <w:sz w:val="22"/>
                <w:szCs w:val="22"/>
              </w:rPr>
              <w:t>Disadv</w:t>
            </w:r>
            <w:proofErr w:type="spellEnd"/>
            <w:r w:rsidRPr="00031302">
              <w:rPr>
                <w:b/>
                <w:bCs/>
                <w:sz w:val="22"/>
                <w:szCs w:val="22"/>
              </w:rPr>
              <w:t xml:space="preserve"> at ARE+</w:t>
            </w:r>
          </w:p>
        </w:tc>
        <w:tc>
          <w:tcPr>
            <w:tcW w:w="1258" w:type="dxa"/>
            <w:shd w:val="clear" w:color="auto" w:fill="DBE5F1" w:themeFill="accent1" w:themeFillTint="33"/>
          </w:tcPr>
          <w:p w14:paraId="4D026294" w14:textId="77777777" w:rsidR="00031302" w:rsidRPr="00031302" w:rsidRDefault="00031302" w:rsidP="00965E5B">
            <w:pPr>
              <w:jc w:val="center"/>
              <w:rPr>
                <w:b/>
                <w:bCs/>
                <w:sz w:val="22"/>
                <w:szCs w:val="22"/>
              </w:rPr>
            </w:pPr>
            <w:r w:rsidRPr="00677982">
              <w:rPr>
                <w:b/>
                <w:bCs/>
                <w:color w:val="auto"/>
                <w:sz w:val="22"/>
                <w:szCs w:val="22"/>
              </w:rPr>
              <w:t>National</w:t>
            </w:r>
          </w:p>
        </w:tc>
        <w:tc>
          <w:tcPr>
            <w:tcW w:w="3804" w:type="dxa"/>
            <w:shd w:val="clear" w:color="auto" w:fill="DBE5F1" w:themeFill="accent1" w:themeFillTint="33"/>
          </w:tcPr>
          <w:p w14:paraId="6F8CB83B" w14:textId="77777777" w:rsidR="00031302" w:rsidRPr="00031302" w:rsidRDefault="00031302" w:rsidP="00965E5B">
            <w:pPr>
              <w:jc w:val="center"/>
              <w:rPr>
                <w:b/>
                <w:bCs/>
                <w:sz w:val="22"/>
                <w:szCs w:val="22"/>
              </w:rPr>
            </w:pPr>
            <w:r w:rsidRPr="00031302">
              <w:rPr>
                <w:b/>
                <w:bCs/>
                <w:sz w:val="22"/>
                <w:szCs w:val="22"/>
              </w:rPr>
              <w:t>Commentary</w:t>
            </w:r>
          </w:p>
        </w:tc>
      </w:tr>
      <w:tr w:rsidR="00031302" w:rsidRPr="009C73A8" w14:paraId="2CBE02BF" w14:textId="77777777" w:rsidTr="00965E5B">
        <w:trPr>
          <w:trHeight w:val="707"/>
        </w:trPr>
        <w:tc>
          <w:tcPr>
            <w:tcW w:w="1604" w:type="dxa"/>
          </w:tcPr>
          <w:p w14:paraId="6F44C98D" w14:textId="77777777" w:rsidR="00031302" w:rsidRPr="00031302" w:rsidRDefault="00031302" w:rsidP="00965E5B">
            <w:pPr>
              <w:spacing w:after="0"/>
              <w:rPr>
                <w:sz w:val="20"/>
                <w:szCs w:val="20"/>
              </w:rPr>
            </w:pPr>
            <w:r w:rsidRPr="00031302">
              <w:rPr>
                <w:sz w:val="20"/>
                <w:szCs w:val="20"/>
              </w:rPr>
              <w:t>YR GLD</w:t>
            </w:r>
          </w:p>
        </w:tc>
        <w:tc>
          <w:tcPr>
            <w:tcW w:w="986" w:type="dxa"/>
          </w:tcPr>
          <w:p w14:paraId="3CF518DD" w14:textId="33F60254" w:rsidR="00031302" w:rsidRPr="00031302" w:rsidRDefault="00545353" w:rsidP="00965E5B">
            <w:pPr>
              <w:spacing w:after="0"/>
              <w:rPr>
                <w:sz w:val="20"/>
                <w:szCs w:val="20"/>
              </w:rPr>
            </w:pPr>
            <w:r>
              <w:rPr>
                <w:sz w:val="20"/>
                <w:szCs w:val="20"/>
              </w:rPr>
              <w:t>2/25</w:t>
            </w:r>
            <w:r w:rsidR="00031302" w:rsidRPr="00031302">
              <w:rPr>
                <w:sz w:val="20"/>
                <w:szCs w:val="20"/>
              </w:rPr>
              <w:t xml:space="preserve"> </w:t>
            </w:r>
          </w:p>
          <w:p w14:paraId="21C7ACD4" w14:textId="37EF8FE8" w:rsidR="00031302" w:rsidRPr="00031302" w:rsidRDefault="00031302" w:rsidP="00965E5B">
            <w:pPr>
              <w:spacing w:after="0"/>
              <w:rPr>
                <w:sz w:val="20"/>
                <w:szCs w:val="20"/>
              </w:rPr>
            </w:pPr>
          </w:p>
        </w:tc>
        <w:tc>
          <w:tcPr>
            <w:tcW w:w="2497" w:type="dxa"/>
            <w:gridSpan w:val="2"/>
          </w:tcPr>
          <w:p w14:paraId="5C6B42CF" w14:textId="0C62F79A" w:rsidR="00031302" w:rsidRPr="00031302" w:rsidRDefault="00545353" w:rsidP="00965E5B">
            <w:pPr>
              <w:spacing w:after="0"/>
              <w:rPr>
                <w:sz w:val="20"/>
                <w:szCs w:val="20"/>
              </w:rPr>
            </w:pPr>
            <w:r>
              <w:rPr>
                <w:sz w:val="20"/>
                <w:szCs w:val="20"/>
              </w:rPr>
              <w:t>0/2</w:t>
            </w:r>
            <w:r w:rsidR="00031302">
              <w:rPr>
                <w:sz w:val="20"/>
                <w:szCs w:val="20"/>
              </w:rPr>
              <w:t xml:space="preserve">       </w:t>
            </w:r>
            <w:r w:rsidR="00031302" w:rsidRPr="00031302">
              <w:rPr>
                <w:sz w:val="20"/>
                <w:szCs w:val="20"/>
              </w:rPr>
              <w:t>0%</w:t>
            </w:r>
          </w:p>
        </w:tc>
        <w:tc>
          <w:tcPr>
            <w:tcW w:w="1258" w:type="dxa"/>
          </w:tcPr>
          <w:p w14:paraId="19EEE34E" w14:textId="62A69CF8" w:rsidR="00031302" w:rsidRPr="00031302" w:rsidRDefault="00545353" w:rsidP="00965E5B">
            <w:pPr>
              <w:spacing w:after="0"/>
              <w:rPr>
                <w:sz w:val="20"/>
                <w:szCs w:val="20"/>
              </w:rPr>
            </w:pPr>
            <w:r>
              <w:rPr>
                <w:sz w:val="20"/>
                <w:szCs w:val="20"/>
              </w:rPr>
              <w:t>unreported</w:t>
            </w:r>
          </w:p>
        </w:tc>
        <w:tc>
          <w:tcPr>
            <w:tcW w:w="3804" w:type="dxa"/>
          </w:tcPr>
          <w:p w14:paraId="7C92F495" w14:textId="3DF96098" w:rsidR="00031302" w:rsidRPr="00C87F85" w:rsidRDefault="00C87F85" w:rsidP="00965E5B">
            <w:pPr>
              <w:spacing w:after="0"/>
              <w:rPr>
                <w:sz w:val="20"/>
                <w:szCs w:val="20"/>
              </w:rPr>
            </w:pPr>
            <w:r w:rsidRPr="00C87F85">
              <w:rPr>
                <w:sz w:val="20"/>
                <w:szCs w:val="20"/>
              </w:rPr>
              <w:t>Cross ref 202</w:t>
            </w:r>
            <w:r w:rsidR="00545353">
              <w:rPr>
                <w:sz w:val="20"/>
                <w:szCs w:val="20"/>
              </w:rPr>
              <w:t>3/24</w:t>
            </w:r>
            <w:r w:rsidRPr="00C87F85">
              <w:rPr>
                <w:sz w:val="20"/>
                <w:szCs w:val="20"/>
              </w:rPr>
              <w:t xml:space="preserve"> Challenge 3 and 4</w:t>
            </w:r>
          </w:p>
        </w:tc>
      </w:tr>
      <w:tr w:rsidR="00031302" w:rsidRPr="009C73A8" w14:paraId="580B4110" w14:textId="77777777" w:rsidTr="00965E5B">
        <w:trPr>
          <w:trHeight w:val="611"/>
        </w:trPr>
        <w:tc>
          <w:tcPr>
            <w:tcW w:w="1604" w:type="dxa"/>
          </w:tcPr>
          <w:p w14:paraId="107C34BA" w14:textId="77777777" w:rsidR="00031302" w:rsidRPr="00031302" w:rsidRDefault="00031302" w:rsidP="00965E5B">
            <w:pPr>
              <w:spacing w:after="0"/>
              <w:rPr>
                <w:sz w:val="20"/>
                <w:szCs w:val="20"/>
              </w:rPr>
            </w:pPr>
            <w:r w:rsidRPr="00031302">
              <w:rPr>
                <w:sz w:val="20"/>
                <w:szCs w:val="20"/>
              </w:rPr>
              <w:t>Y1 Phonic</w:t>
            </w:r>
          </w:p>
          <w:p w14:paraId="07FF8729" w14:textId="77777777" w:rsidR="00031302" w:rsidRPr="00031302" w:rsidRDefault="00031302" w:rsidP="00965E5B">
            <w:pPr>
              <w:spacing w:after="0"/>
              <w:rPr>
                <w:sz w:val="20"/>
                <w:szCs w:val="20"/>
              </w:rPr>
            </w:pPr>
            <w:r w:rsidRPr="00031302">
              <w:rPr>
                <w:sz w:val="20"/>
                <w:szCs w:val="20"/>
              </w:rPr>
              <w:t>Screening</w:t>
            </w:r>
          </w:p>
        </w:tc>
        <w:tc>
          <w:tcPr>
            <w:tcW w:w="986" w:type="dxa"/>
          </w:tcPr>
          <w:p w14:paraId="70F0DD39" w14:textId="4E6CFB36" w:rsidR="00031302" w:rsidRPr="00031302" w:rsidRDefault="00545353" w:rsidP="00965E5B">
            <w:pPr>
              <w:spacing w:after="0"/>
              <w:rPr>
                <w:sz w:val="20"/>
                <w:szCs w:val="20"/>
              </w:rPr>
            </w:pPr>
            <w:r>
              <w:rPr>
                <w:sz w:val="20"/>
                <w:szCs w:val="20"/>
              </w:rPr>
              <w:t>2/19</w:t>
            </w:r>
          </w:p>
          <w:p w14:paraId="4C28C9A0" w14:textId="77777777" w:rsidR="00031302" w:rsidRPr="00031302" w:rsidRDefault="00031302" w:rsidP="00965E5B">
            <w:pPr>
              <w:spacing w:after="0"/>
              <w:rPr>
                <w:sz w:val="20"/>
                <w:szCs w:val="20"/>
              </w:rPr>
            </w:pPr>
          </w:p>
        </w:tc>
        <w:tc>
          <w:tcPr>
            <w:tcW w:w="2497" w:type="dxa"/>
            <w:gridSpan w:val="2"/>
          </w:tcPr>
          <w:p w14:paraId="4F57C181" w14:textId="5470BC34" w:rsidR="00031302" w:rsidRPr="00031302" w:rsidRDefault="00545353" w:rsidP="00965E5B">
            <w:pPr>
              <w:spacing w:after="0"/>
              <w:rPr>
                <w:sz w:val="20"/>
                <w:szCs w:val="20"/>
              </w:rPr>
            </w:pPr>
            <w:r>
              <w:rPr>
                <w:sz w:val="20"/>
                <w:szCs w:val="20"/>
              </w:rPr>
              <w:t>2/2</w:t>
            </w:r>
            <w:r w:rsidR="00031302">
              <w:rPr>
                <w:sz w:val="20"/>
                <w:szCs w:val="20"/>
              </w:rPr>
              <w:t xml:space="preserve">       </w:t>
            </w:r>
            <w:r>
              <w:rPr>
                <w:sz w:val="20"/>
                <w:szCs w:val="20"/>
              </w:rPr>
              <w:t>100</w:t>
            </w:r>
            <w:r w:rsidR="00031302" w:rsidRPr="00031302">
              <w:rPr>
                <w:sz w:val="20"/>
                <w:szCs w:val="20"/>
              </w:rPr>
              <w:t>%</w:t>
            </w:r>
          </w:p>
        </w:tc>
        <w:tc>
          <w:tcPr>
            <w:tcW w:w="1258" w:type="dxa"/>
          </w:tcPr>
          <w:p w14:paraId="74A74FBF" w14:textId="09985E29" w:rsidR="00031302" w:rsidRPr="00031302" w:rsidRDefault="003E3BB0" w:rsidP="00965E5B">
            <w:pPr>
              <w:spacing w:after="0"/>
              <w:rPr>
                <w:sz w:val="20"/>
                <w:szCs w:val="20"/>
              </w:rPr>
            </w:pPr>
            <w:r>
              <w:rPr>
                <w:sz w:val="20"/>
                <w:szCs w:val="20"/>
              </w:rPr>
              <w:t>67</w:t>
            </w:r>
          </w:p>
        </w:tc>
        <w:tc>
          <w:tcPr>
            <w:tcW w:w="3804" w:type="dxa"/>
          </w:tcPr>
          <w:p w14:paraId="3239374D" w14:textId="4F7FAEBB" w:rsidR="00031302" w:rsidRPr="00C87F85" w:rsidRDefault="00545353" w:rsidP="00965E5B">
            <w:pPr>
              <w:spacing w:after="0"/>
              <w:rPr>
                <w:sz w:val="20"/>
                <w:szCs w:val="20"/>
              </w:rPr>
            </w:pPr>
            <w:r>
              <w:rPr>
                <w:sz w:val="20"/>
                <w:szCs w:val="20"/>
              </w:rPr>
              <w:t>Both children of service personnel</w:t>
            </w:r>
          </w:p>
        </w:tc>
      </w:tr>
      <w:tr w:rsidR="00031302" w:rsidRPr="009C73A8" w14:paraId="752B96B5" w14:textId="77777777" w:rsidTr="00965E5B">
        <w:trPr>
          <w:trHeight w:val="611"/>
        </w:trPr>
        <w:tc>
          <w:tcPr>
            <w:tcW w:w="1604" w:type="dxa"/>
          </w:tcPr>
          <w:p w14:paraId="42CBF694" w14:textId="77777777" w:rsidR="00031302" w:rsidRPr="00031302" w:rsidRDefault="00031302" w:rsidP="00965E5B">
            <w:pPr>
              <w:spacing w:after="0"/>
              <w:rPr>
                <w:sz w:val="20"/>
                <w:szCs w:val="20"/>
              </w:rPr>
            </w:pPr>
            <w:r w:rsidRPr="00031302">
              <w:rPr>
                <w:sz w:val="20"/>
                <w:szCs w:val="20"/>
              </w:rPr>
              <w:t>Y2 Phonic re-take</w:t>
            </w:r>
          </w:p>
        </w:tc>
        <w:tc>
          <w:tcPr>
            <w:tcW w:w="986" w:type="dxa"/>
          </w:tcPr>
          <w:p w14:paraId="25BF5798" w14:textId="7565BB8E" w:rsidR="00031302" w:rsidRPr="00031302" w:rsidRDefault="00545353" w:rsidP="00965E5B">
            <w:pPr>
              <w:spacing w:after="0"/>
              <w:rPr>
                <w:sz w:val="20"/>
                <w:szCs w:val="20"/>
              </w:rPr>
            </w:pPr>
            <w:r>
              <w:rPr>
                <w:sz w:val="20"/>
                <w:szCs w:val="20"/>
              </w:rPr>
              <w:t>2/5</w:t>
            </w:r>
          </w:p>
          <w:p w14:paraId="0F546906" w14:textId="31F89051" w:rsidR="00031302" w:rsidRPr="00031302" w:rsidRDefault="00031302" w:rsidP="00965E5B">
            <w:pPr>
              <w:spacing w:after="0"/>
              <w:rPr>
                <w:sz w:val="20"/>
                <w:szCs w:val="20"/>
              </w:rPr>
            </w:pPr>
          </w:p>
        </w:tc>
        <w:tc>
          <w:tcPr>
            <w:tcW w:w="2497" w:type="dxa"/>
            <w:gridSpan w:val="2"/>
          </w:tcPr>
          <w:p w14:paraId="24DA4D3E" w14:textId="71DF0021" w:rsidR="00031302" w:rsidRPr="00031302" w:rsidRDefault="00031302" w:rsidP="00965E5B">
            <w:pPr>
              <w:spacing w:after="0"/>
              <w:rPr>
                <w:sz w:val="20"/>
                <w:szCs w:val="20"/>
              </w:rPr>
            </w:pPr>
            <w:r>
              <w:rPr>
                <w:sz w:val="20"/>
                <w:szCs w:val="20"/>
              </w:rPr>
              <w:t xml:space="preserve">1/2         </w:t>
            </w:r>
            <w:r w:rsidRPr="00031302">
              <w:rPr>
                <w:sz w:val="20"/>
                <w:szCs w:val="20"/>
              </w:rPr>
              <w:t>50%</w:t>
            </w:r>
          </w:p>
        </w:tc>
        <w:tc>
          <w:tcPr>
            <w:tcW w:w="1258" w:type="dxa"/>
          </w:tcPr>
          <w:p w14:paraId="65D1F9FF" w14:textId="109CD4EA" w:rsidR="00031302" w:rsidRPr="00031302" w:rsidRDefault="00677982" w:rsidP="00965E5B">
            <w:pPr>
              <w:spacing w:after="0"/>
              <w:rPr>
                <w:sz w:val="20"/>
                <w:szCs w:val="20"/>
              </w:rPr>
            </w:pPr>
            <w:r>
              <w:rPr>
                <w:sz w:val="20"/>
                <w:szCs w:val="20"/>
              </w:rPr>
              <w:t>tbc</w:t>
            </w:r>
          </w:p>
        </w:tc>
        <w:tc>
          <w:tcPr>
            <w:tcW w:w="3804" w:type="dxa"/>
          </w:tcPr>
          <w:p w14:paraId="38129D31" w14:textId="77777777" w:rsidR="00545353" w:rsidRDefault="00545353" w:rsidP="00965E5B">
            <w:pPr>
              <w:spacing w:after="0"/>
              <w:rPr>
                <w:sz w:val="20"/>
                <w:szCs w:val="20"/>
              </w:rPr>
            </w:pPr>
            <w:r>
              <w:rPr>
                <w:sz w:val="20"/>
                <w:szCs w:val="20"/>
              </w:rPr>
              <w:t>EHCP 1:1 support. Good progress being made.</w:t>
            </w:r>
          </w:p>
          <w:p w14:paraId="4F0B0780" w14:textId="260C11C6" w:rsidR="00031302" w:rsidRPr="00031302" w:rsidRDefault="00C87F85" w:rsidP="00965E5B">
            <w:pPr>
              <w:spacing w:after="0"/>
              <w:rPr>
                <w:sz w:val="20"/>
                <w:szCs w:val="20"/>
              </w:rPr>
            </w:pPr>
            <w:r>
              <w:rPr>
                <w:sz w:val="20"/>
                <w:szCs w:val="20"/>
              </w:rPr>
              <w:t>Cross ref 2022/23 Challenge 3 and 4</w:t>
            </w:r>
          </w:p>
        </w:tc>
      </w:tr>
      <w:tr w:rsidR="00F24A11" w:rsidRPr="009C73A8" w14:paraId="7313E591" w14:textId="77777777" w:rsidTr="00965E5B">
        <w:trPr>
          <w:trHeight w:val="384"/>
        </w:trPr>
        <w:tc>
          <w:tcPr>
            <w:tcW w:w="1604" w:type="dxa"/>
            <w:vMerge w:val="restart"/>
          </w:tcPr>
          <w:p w14:paraId="24419C76" w14:textId="3D25267C" w:rsidR="00031302" w:rsidRPr="00031302" w:rsidRDefault="00031302" w:rsidP="00965E5B">
            <w:pPr>
              <w:spacing w:after="0"/>
              <w:rPr>
                <w:sz w:val="20"/>
                <w:szCs w:val="20"/>
              </w:rPr>
            </w:pPr>
            <w:r w:rsidRPr="00031302">
              <w:rPr>
                <w:sz w:val="20"/>
                <w:szCs w:val="20"/>
              </w:rPr>
              <w:t>Y2 KS1 Teacher</w:t>
            </w:r>
          </w:p>
          <w:p w14:paraId="041C1457" w14:textId="77777777" w:rsidR="00031302" w:rsidRPr="00031302" w:rsidRDefault="00031302" w:rsidP="00965E5B">
            <w:pPr>
              <w:spacing w:after="0"/>
              <w:rPr>
                <w:sz w:val="20"/>
                <w:szCs w:val="20"/>
              </w:rPr>
            </w:pPr>
            <w:r w:rsidRPr="00031302">
              <w:rPr>
                <w:sz w:val="20"/>
                <w:szCs w:val="20"/>
              </w:rPr>
              <w:t xml:space="preserve">Assessments </w:t>
            </w:r>
          </w:p>
        </w:tc>
        <w:tc>
          <w:tcPr>
            <w:tcW w:w="986" w:type="dxa"/>
            <w:vMerge w:val="restart"/>
          </w:tcPr>
          <w:p w14:paraId="44450D4B" w14:textId="77777777" w:rsidR="00031302" w:rsidRPr="00031302" w:rsidRDefault="00031302" w:rsidP="00965E5B">
            <w:pPr>
              <w:spacing w:after="0"/>
              <w:rPr>
                <w:sz w:val="20"/>
                <w:szCs w:val="20"/>
              </w:rPr>
            </w:pPr>
            <w:r w:rsidRPr="00031302">
              <w:rPr>
                <w:sz w:val="20"/>
                <w:szCs w:val="20"/>
              </w:rPr>
              <w:t>2/26</w:t>
            </w:r>
          </w:p>
          <w:p w14:paraId="504F538A" w14:textId="35405ED5" w:rsidR="00031302" w:rsidRPr="00031302" w:rsidRDefault="00031302" w:rsidP="00965E5B">
            <w:pPr>
              <w:spacing w:after="0"/>
              <w:rPr>
                <w:sz w:val="20"/>
                <w:szCs w:val="20"/>
              </w:rPr>
            </w:pPr>
          </w:p>
        </w:tc>
        <w:tc>
          <w:tcPr>
            <w:tcW w:w="1248" w:type="dxa"/>
          </w:tcPr>
          <w:p w14:paraId="0E44BA11" w14:textId="77777777" w:rsidR="00031302" w:rsidRPr="00031302" w:rsidRDefault="00031302" w:rsidP="00965E5B">
            <w:pPr>
              <w:spacing w:after="0"/>
              <w:rPr>
                <w:sz w:val="20"/>
                <w:szCs w:val="20"/>
              </w:rPr>
            </w:pPr>
            <w:r w:rsidRPr="00031302">
              <w:rPr>
                <w:sz w:val="20"/>
                <w:szCs w:val="20"/>
              </w:rPr>
              <w:t>R</w:t>
            </w:r>
          </w:p>
        </w:tc>
        <w:tc>
          <w:tcPr>
            <w:tcW w:w="1249" w:type="dxa"/>
          </w:tcPr>
          <w:p w14:paraId="7DA2C4FC" w14:textId="53669ADD" w:rsidR="00031302" w:rsidRPr="00031302" w:rsidRDefault="003E3BB0" w:rsidP="00965E5B">
            <w:pPr>
              <w:spacing w:after="0"/>
              <w:rPr>
                <w:sz w:val="20"/>
                <w:szCs w:val="20"/>
              </w:rPr>
            </w:pPr>
            <w:r>
              <w:rPr>
                <w:sz w:val="20"/>
                <w:szCs w:val="20"/>
              </w:rPr>
              <w:t>2/4</w:t>
            </w:r>
            <w:r w:rsidR="00031302">
              <w:rPr>
                <w:sz w:val="20"/>
                <w:szCs w:val="20"/>
              </w:rPr>
              <w:t xml:space="preserve">  </w:t>
            </w:r>
            <w:r>
              <w:rPr>
                <w:sz w:val="20"/>
                <w:szCs w:val="20"/>
              </w:rPr>
              <w:t>5</w:t>
            </w:r>
            <w:r w:rsidR="00031302" w:rsidRPr="00031302">
              <w:rPr>
                <w:sz w:val="20"/>
                <w:szCs w:val="20"/>
              </w:rPr>
              <w:t>0%</w:t>
            </w:r>
          </w:p>
        </w:tc>
        <w:tc>
          <w:tcPr>
            <w:tcW w:w="1258" w:type="dxa"/>
          </w:tcPr>
          <w:p w14:paraId="686BFB32" w14:textId="7ABD1213" w:rsidR="00031302" w:rsidRPr="00031302" w:rsidRDefault="003E3BB0" w:rsidP="00965E5B">
            <w:pPr>
              <w:spacing w:after="0"/>
              <w:rPr>
                <w:sz w:val="20"/>
                <w:szCs w:val="20"/>
              </w:rPr>
            </w:pPr>
            <w:r>
              <w:rPr>
                <w:sz w:val="20"/>
                <w:szCs w:val="20"/>
              </w:rPr>
              <w:t>73</w:t>
            </w:r>
          </w:p>
        </w:tc>
        <w:tc>
          <w:tcPr>
            <w:tcW w:w="3804" w:type="dxa"/>
            <w:vMerge w:val="restart"/>
          </w:tcPr>
          <w:p w14:paraId="142A8D85" w14:textId="77777777" w:rsidR="003E3BB0" w:rsidRDefault="003E3BB0" w:rsidP="00965E5B">
            <w:pPr>
              <w:spacing w:after="0"/>
              <w:rPr>
                <w:sz w:val="20"/>
                <w:szCs w:val="20"/>
              </w:rPr>
            </w:pPr>
            <w:r>
              <w:rPr>
                <w:sz w:val="20"/>
                <w:szCs w:val="20"/>
              </w:rPr>
              <w:t>EHCP 1:1 support. Good progress being made.</w:t>
            </w:r>
          </w:p>
          <w:p w14:paraId="3F83E129" w14:textId="02491DCC" w:rsidR="003E3BB0" w:rsidRDefault="003E3BB0" w:rsidP="00965E5B">
            <w:pPr>
              <w:spacing w:after="0"/>
              <w:rPr>
                <w:sz w:val="20"/>
                <w:szCs w:val="20"/>
              </w:rPr>
            </w:pPr>
            <w:r>
              <w:rPr>
                <w:sz w:val="20"/>
                <w:szCs w:val="20"/>
              </w:rPr>
              <w:t>SEND monitoring list</w:t>
            </w:r>
          </w:p>
          <w:p w14:paraId="716CB976" w14:textId="72E2A8DD" w:rsidR="00031302" w:rsidRPr="00031302" w:rsidRDefault="00C87F85" w:rsidP="00965E5B">
            <w:pPr>
              <w:spacing w:after="0"/>
              <w:rPr>
                <w:sz w:val="20"/>
                <w:szCs w:val="20"/>
              </w:rPr>
            </w:pPr>
            <w:r>
              <w:rPr>
                <w:sz w:val="20"/>
                <w:szCs w:val="20"/>
              </w:rPr>
              <w:t>Cross ref 2022/23 Challenge 3 and 4</w:t>
            </w:r>
          </w:p>
        </w:tc>
      </w:tr>
      <w:tr w:rsidR="00F24A11" w:rsidRPr="009C73A8" w14:paraId="18DF04B1" w14:textId="77777777" w:rsidTr="00965E5B">
        <w:trPr>
          <w:trHeight w:val="384"/>
        </w:trPr>
        <w:tc>
          <w:tcPr>
            <w:tcW w:w="1604" w:type="dxa"/>
            <w:vMerge/>
          </w:tcPr>
          <w:p w14:paraId="5D5AD5B3" w14:textId="77777777" w:rsidR="00031302" w:rsidRPr="00031302" w:rsidRDefault="00031302" w:rsidP="00965E5B">
            <w:pPr>
              <w:spacing w:after="0"/>
              <w:rPr>
                <w:sz w:val="20"/>
                <w:szCs w:val="20"/>
              </w:rPr>
            </w:pPr>
          </w:p>
        </w:tc>
        <w:tc>
          <w:tcPr>
            <w:tcW w:w="986" w:type="dxa"/>
            <w:vMerge/>
          </w:tcPr>
          <w:p w14:paraId="00C50EC5" w14:textId="77777777" w:rsidR="00031302" w:rsidRPr="00031302" w:rsidRDefault="00031302" w:rsidP="00965E5B">
            <w:pPr>
              <w:spacing w:after="0"/>
              <w:rPr>
                <w:sz w:val="20"/>
                <w:szCs w:val="20"/>
              </w:rPr>
            </w:pPr>
          </w:p>
        </w:tc>
        <w:tc>
          <w:tcPr>
            <w:tcW w:w="1248" w:type="dxa"/>
          </w:tcPr>
          <w:p w14:paraId="22D44DC5" w14:textId="77777777" w:rsidR="00031302" w:rsidRPr="00031302" w:rsidRDefault="00031302" w:rsidP="00965E5B">
            <w:pPr>
              <w:spacing w:after="0"/>
              <w:rPr>
                <w:sz w:val="20"/>
                <w:szCs w:val="20"/>
              </w:rPr>
            </w:pPr>
            <w:proofErr w:type="spellStart"/>
            <w:r w:rsidRPr="00031302">
              <w:rPr>
                <w:sz w:val="20"/>
                <w:szCs w:val="20"/>
              </w:rPr>
              <w:t>Wr</w:t>
            </w:r>
            <w:proofErr w:type="spellEnd"/>
          </w:p>
        </w:tc>
        <w:tc>
          <w:tcPr>
            <w:tcW w:w="1249" w:type="dxa"/>
          </w:tcPr>
          <w:p w14:paraId="45B84CDE" w14:textId="0F9D3854" w:rsidR="00031302" w:rsidRPr="00031302" w:rsidRDefault="003E3BB0" w:rsidP="00965E5B">
            <w:pPr>
              <w:spacing w:after="0"/>
              <w:rPr>
                <w:sz w:val="20"/>
                <w:szCs w:val="20"/>
              </w:rPr>
            </w:pPr>
            <w:r>
              <w:rPr>
                <w:sz w:val="20"/>
                <w:szCs w:val="20"/>
              </w:rPr>
              <w:t>2/4</w:t>
            </w:r>
            <w:r w:rsidR="00031302">
              <w:rPr>
                <w:sz w:val="20"/>
                <w:szCs w:val="20"/>
              </w:rPr>
              <w:t xml:space="preserve">   </w:t>
            </w:r>
            <w:r>
              <w:rPr>
                <w:sz w:val="20"/>
                <w:szCs w:val="20"/>
              </w:rPr>
              <w:t>5</w:t>
            </w:r>
            <w:r w:rsidR="00031302" w:rsidRPr="00031302">
              <w:rPr>
                <w:sz w:val="20"/>
                <w:szCs w:val="20"/>
              </w:rPr>
              <w:t>0%</w:t>
            </w:r>
          </w:p>
        </w:tc>
        <w:tc>
          <w:tcPr>
            <w:tcW w:w="1258" w:type="dxa"/>
          </w:tcPr>
          <w:p w14:paraId="4A69BEDF" w14:textId="62A85282" w:rsidR="00031302" w:rsidRPr="00031302" w:rsidRDefault="003E3BB0" w:rsidP="00965E5B">
            <w:pPr>
              <w:spacing w:after="0"/>
              <w:rPr>
                <w:sz w:val="20"/>
                <w:szCs w:val="20"/>
              </w:rPr>
            </w:pPr>
            <w:r>
              <w:rPr>
                <w:sz w:val="20"/>
                <w:szCs w:val="20"/>
              </w:rPr>
              <w:t>65</w:t>
            </w:r>
          </w:p>
        </w:tc>
        <w:tc>
          <w:tcPr>
            <w:tcW w:w="3804" w:type="dxa"/>
            <w:vMerge/>
          </w:tcPr>
          <w:p w14:paraId="55CC477A" w14:textId="77777777" w:rsidR="00031302" w:rsidRPr="00031302" w:rsidRDefault="00031302" w:rsidP="00965E5B">
            <w:pPr>
              <w:spacing w:after="0"/>
              <w:rPr>
                <w:sz w:val="20"/>
                <w:szCs w:val="20"/>
              </w:rPr>
            </w:pPr>
          </w:p>
        </w:tc>
      </w:tr>
      <w:tr w:rsidR="00F24A11" w:rsidRPr="009C73A8" w14:paraId="5B026CEC" w14:textId="77777777" w:rsidTr="00965E5B">
        <w:trPr>
          <w:trHeight w:val="384"/>
        </w:trPr>
        <w:tc>
          <w:tcPr>
            <w:tcW w:w="1604" w:type="dxa"/>
            <w:vMerge/>
          </w:tcPr>
          <w:p w14:paraId="3EC3A6F5" w14:textId="77777777" w:rsidR="00031302" w:rsidRPr="00031302" w:rsidRDefault="00031302" w:rsidP="00965E5B">
            <w:pPr>
              <w:spacing w:after="0"/>
              <w:rPr>
                <w:sz w:val="20"/>
                <w:szCs w:val="20"/>
              </w:rPr>
            </w:pPr>
          </w:p>
        </w:tc>
        <w:tc>
          <w:tcPr>
            <w:tcW w:w="986" w:type="dxa"/>
            <w:vMerge/>
          </w:tcPr>
          <w:p w14:paraId="72E8E8BB" w14:textId="77777777" w:rsidR="00031302" w:rsidRPr="00031302" w:rsidRDefault="00031302" w:rsidP="00965E5B">
            <w:pPr>
              <w:spacing w:after="0"/>
              <w:rPr>
                <w:sz w:val="20"/>
                <w:szCs w:val="20"/>
              </w:rPr>
            </w:pPr>
          </w:p>
        </w:tc>
        <w:tc>
          <w:tcPr>
            <w:tcW w:w="1248" w:type="dxa"/>
          </w:tcPr>
          <w:p w14:paraId="6C354511" w14:textId="77777777" w:rsidR="00031302" w:rsidRPr="00031302" w:rsidRDefault="00031302" w:rsidP="00965E5B">
            <w:pPr>
              <w:spacing w:after="0"/>
              <w:rPr>
                <w:sz w:val="20"/>
                <w:szCs w:val="20"/>
              </w:rPr>
            </w:pPr>
            <w:r w:rsidRPr="00031302">
              <w:rPr>
                <w:sz w:val="20"/>
                <w:szCs w:val="20"/>
              </w:rPr>
              <w:t>M</w:t>
            </w:r>
          </w:p>
        </w:tc>
        <w:tc>
          <w:tcPr>
            <w:tcW w:w="1249" w:type="dxa"/>
          </w:tcPr>
          <w:p w14:paraId="52A7962F" w14:textId="31D1E2FC" w:rsidR="00031302" w:rsidRPr="00031302" w:rsidRDefault="003E3BB0" w:rsidP="00965E5B">
            <w:pPr>
              <w:spacing w:after="0"/>
              <w:rPr>
                <w:sz w:val="20"/>
                <w:szCs w:val="20"/>
              </w:rPr>
            </w:pPr>
            <w:r>
              <w:rPr>
                <w:sz w:val="20"/>
                <w:szCs w:val="20"/>
              </w:rPr>
              <w:t>2/4</w:t>
            </w:r>
            <w:r w:rsidR="00031302">
              <w:rPr>
                <w:sz w:val="20"/>
                <w:szCs w:val="20"/>
              </w:rPr>
              <w:t xml:space="preserve">   </w:t>
            </w:r>
            <w:r>
              <w:rPr>
                <w:sz w:val="20"/>
                <w:szCs w:val="20"/>
              </w:rPr>
              <w:t>5</w:t>
            </w:r>
            <w:r w:rsidR="00031302" w:rsidRPr="00031302">
              <w:rPr>
                <w:sz w:val="20"/>
                <w:szCs w:val="20"/>
              </w:rPr>
              <w:t>0%</w:t>
            </w:r>
          </w:p>
        </w:tc>
        <w:tc>
          <w:tcPr>
            <w:tcW w:w="1258" w:type="dxa"/>
          </w:tcPr>
          <w:p w14:paraId="02397068" w14:textId="293A1C5D" w:rsidR="00031302" w:rsidRPr="00031302" w:rsidRDefault="003E3BB0" w:rsidP="00965E5B">
            <w:pPr>
              <w:spacing w:after="0"/>
              <w:rPr>
                <w:sz w:val="20"/>
                <w:szCs w:val="20"/>
              </w:rPr>
            </w:pPr>
            <w:r>
              <w:rPr>
                <w:sz w:val="20"/>
                <w:szCs w:val="20"/>
              </w:rPr>
              <w:t>75</w:t>
            </w:r>
          </w:p>
        </w:tc>
        <w:tc>
          <w:tcPr>
            <w:tcW w:w="3804" w:type="dxa"/>
            <w:vMerge/>
          </w:tcPr>
          <w:p w14:paraId="7099E566" w14:textId="77777777" w:rsidR="00031302" w:rsidRPr="00031302" w:rsidRDefault="00031302" w:rsidP="00965E5B">
            <w:pPr>
              <w:spacing w:after="0"/>
              <w:rPr>
                <w:sz w:val="20"/>
                <w:szCs w:val="20"/>
              </w:rPr>
            </w:pPr>
          </w:p>
        </w:tc>
      </w:tr>
      <w:tr w:rsidR="00031302" w:rsidRPr="009C73A8" w14:paraId="5FE07E7E" w14:textId="77777777" w:rsidTr="00965E5B">
        <w:trPr>
          <w:trHeight w:val="611"/>
        </w:trPr>
        <w:tc>
          <w:tcPr>
            <w:tcW w:w="1604" w:type="dxa"/>
          </w:tcPr>
          <w:p w14:paraId="071975AD" w14:textId="77777777" w:rsidR="00031302" w:rsidRPr="00031302" w:rsidRDefault="00031302" w:rsidP="00965E5B">
            <w:pPr>
              <w:spacing w:after="0"/>
              <w:rPr>
                <w:sz w:val="20"/>
                <w:szCs w:val="20"/>
              </w:rPr>
            </w:pPr>
            <w:r w:rsidRPr="00031302">
              <w:rPr>
                <w:sz w:val="20"/>
                <w:szCs w:val="20"/>
              </w:rPr>
              <w:t xml:space="preserve">Y4 Multiplication check </w:t>
            </w:r>
          </w:p>
        </w:tc>
        <w:tc>
          <w:tcPr>
            <w:tcW w:w="986" w:type="dxa"/>
          </w:tcPr>
          <w:p w14:paraId="76C41C73" w14:textId="77777777" w:rsidR="00031302" w:rsidRPr="00031302" w:rsidRDefault="00031302" w:rsidP="00965E5B">
            <w:pPr>
              <w:spacing w:after="0"/>
              <w:rPr>
                <w:sz w:val="20"/>
                <w:szCs w:val="20"/>
              </w:rPr>
            </w:pPr>
            <w:r w:rsidRPr="00031302">
              <w:rPr>
                <w:sz w:val="20"/>
                <w:szCs w:val="20"/>
              </w:rPr>
              <w:t>5/30</w:t>
            </w:r>
          </w:p>
          <w:p w14:paraId="5A88C6AE" w14:textId="77777777" w:rsidR="00031302" w:rsidRPr="00031302" w:rsidRDefault="00031302" w:rsidP="00965E5B">
            <w:pPr>
              <w:spacing w:after="0"/>
              <w:rPr>
                <w:sz w:val="20"/>
                <w:szCs w:val="20"/>
              </w:rPr>
            </w:pPr>
          </w:p>
        </w:tc>
        <w:tc>
          <w:tcPr>
            <w:tcW w:w="2497" w:type="dxa"/>
            <w:gridSpan w:val="2"/>
          </w:tcPr>
          <w:p w14:paraId="4C3AE11E" w14:textId="60706B34" w:rsidR="00031302" w:rsidRPr="00031302" w:rsidRDefault="003E3BB0" w:rsidP="00965E5B">
            <w:pPr>
              <w:spacing w:after="0"/>
              <w:rPr>
                <w:sz w:val="20"/>
                <w:szCs w:val="20"/>
              </w:rPr>
            </w:pPr>
            <w:r>
              <w:rPr>
                <w:sz w:val="20"/>
                <w:szCs w:val="20"/>
              </w:rPr>
              <w:t>5</w:t>
            </w:r>
            <w:r w:rsidR="00031302" w:rsidRPr="00031302">
              <w:rPr>
                <w:sz w:val="20"/>
                <w:szCs w:val="20"/>
              </w:rPr>
              <w:t>/5</w:t>
            </w:r>
            <w:r w:rsidR="00031302">
              <w:rPr>
                <w:sz w:val="20"/>
                <w:szCs w:val="20"/>
              </w:rPr>
              <w:t xml:space="preserve">  25   </w:t>
            </w:r>
            <w:r w:rsidR="00F24A11">
              <w:rPr>
                <w:sz w:val="20"/>
                <w:szCs w:val="20"/>
              </w:rPr>
              <w:t xml:space="preserve">     </w:t>
            </w:r>
            <w:r>
              <w:rPr>
                <w:sz w:val="20"/>
                <w:szCs w:val="20"/>
              </w:rPr>
              <w:t>100</w:t>
            </w:r>
            <w:r w:rsidR="00031302">
              <w:rPr>
                <w:sz w:val="20"/>
                <w:szCs w:val="20"/>
              </w:rPr>
              <w:t>%</w:t>
            </w:r>
          </w:p>
          <w:p w14:paraId="1483CDAF" w14:textId="77777777" w:rsidR="00031302" w:rsidRDefault="00031302" w:rsidP="00965E5B">
            <w:pPr>
              <w:spacing w:after="0"/>
              <w:rPr>
                <w:sz w:val="20"/>
                <w:szCs w:val="20"/>
              </w:rPr>
            </w:pPr>
            <w:r>
              <w:rPr>
                <w:sz w:val="20"/>
                <w:szCs w:val="20"/>
              </w:rPr>
              <w:t xml:space="preserve">2/5 </w:t>
            </w:r>
            <w:r w:rsidR="00F24A11">
              <w:rPr>
                <w:sz w:val="20"/>
                <w:szCs w:val="20"/>
              </w:rPr>
              <w:t xml:space="preserve"> </w:t>
            </w:r>
            <w:r>
              <w:rPr>
                <w:sz w:val="20"/>
                <w:szCs w:val="20"/>
              </w:rPr>
              <w:t>20-25</w:t>
            </w:r>
            <w:r w:rsidR="00F24A11">
              <w:rPr>
                <w:sz w:val="20"/>
                <w:szCs w:val="20"/>
              </w:rPr>
              <w:t xml:space="preserve">  4</w:t>
            </w:r>
            <w:r w:rsidRPr="00031302">
              <w:rPr>
                <w:sz w:val="20"/>
                <w:szCs w:val="20"/>
              </w:rPr>
              <w:t>0</w:t>
            </w:r>
            <w:r w:rsidR="00F24A11">
              <w:rPr>
                <w:sz w:val="20"/>
                <w:szCs w:val="20"/>
              </w:rPr>
              <w:t xml:space="preserve">% </w:t>
            </w:r>
          </w:p>
          <w:p w14:paraId="09DB28EC" w14:textId="204BB32B" w:rsidR="0037678F" w:rsidRPr="00031302" w:rsidRDefault="0037678F" w:rsidP="00965E5B">
            <w:pPr>
              <w:spacing w:after="0"/>
              <w:rPr>
                <w:sz w:val="20"/>
                <w:szCs w:val="20"/>
              </w:rPr>
            </w:pPr>
            <w:r>
              <w:rPr>
                <w:sz w:val="20"/>
                <w:szCs w:val="20"/>
              </w:rPr>
              <w:t>Av Points Score   23.6</w:t>
            </w:r>
          </w:p>
        </w:tc>
        <w:tc>
          <w:tcPr>
            <w:tcW w:w="1258" w:type="dxa"/>
          </w:tcPr>
          <w:p w14:paraId="13252B0D" w14:textId="77777777" w:rsidR="00031302" w:rsidRDefault="00031302" w:rsidP="00965E5B">
            <w:pPr>
              <w:spacing w:after="0"/>
              <w:rPr>
                <w:sz w:val="20"/>
                <w:szCs w:val="20"/>
              </w:rPr>
            </w:pPr>
          </w:p>
          <w:p w14:paraId="13F14E91" w14:textId="77777777" w:rsidR="0037678F" w:rsidRDefault="0037678F" w:rsidP="00965E5B">
            <w:pPr>
              <w:spacing w:after="0"/>
              <w:rPr>
                <w:sz w:val="20"/>
                <w:szCs w:val="20"/>
              </w:rPr>
            </w:pPr>
          </w:p>
          <w:p w14:paraId="37BDA43A" w14:textId="2B5FD709" w:rsidR="0037678F" w:rsidRPr="00031302" w:rsidRDefault="0037678F" w:rsidP="00965E5B">
            <w:pPr>
              <w:spacing w:after="0"/>
              <w:rPr>
                <w:sz w:val="20"/>
                <w:szCs w:val="20"/>
              </w:rPr>
            </w:pPr>
            <w:r>
              <w:rPr>
                <w:sz w:val="20"/>
                <w:szCs w:val="20"/>
              </w:rPr>
              <w:t>20.2</w:t>
            </w:r>
          </w:p>
        </w:tc>
        <w:tc>
          <w:tcPr>
            <w:tcW w:w="3804" w:type="dxa"/>
          </w:tcPr>
          <w:p w14:paraId="218AAB75" w14:textId="7C751028" w:rsidR="00031302" w:rsidRPr="00031302" w:rsidRDefault="00C87F85" w:rsidP="00965E5B">
            <w:pPr>
              <w:spacing w:after="0"/>
              <w:rPr>
                <w:sz w:val="20"/>
                <w:szCs w:val="20"/>
              </w:rPr>
            </w:pPr>
            <w:r>
              <w:rPr>
                <w:sz w:val="20"/>
                <w:szCs w:val="20"/>
              </w:rPr>
              <w:t>Cross ref 2022/23 Challenge 3 and 4</w:t>
            </w:r>
          </w:p>
        </w:tc>
      </w:tr>
      <w:tr w:rsidR="00965E5B" w:rsidRPr="009C73A8" w14:paraId="642536F6" w14:textId="77777777" w:rsidTr="00965E5B">
        <w:trPr>
          <w:trHeight w:val="586"/>
        </w:trPr>
        <w:tc>
          <w:tcPr>
            <w:tcW w:w="1604" w:type="dxa"/>
            <w:vMerge w:val="restart"/>
          </w:tcPr>
          <w:p w14:paraId="59D71005" w14:textId="66BB96F8" w:rsidR="00965E5B" w:rsidRPr="00031302" w:rsidRDefault="00965E5B" w:rsidP="00965E5B">
            <w:pPr>
              <w:spacing w:after="0"/>
              <w:rPr>
                <w:sz w:val="20"/>
                <w:szCs w:val="20"/>
              </w:rPr>
            </w:pPr>
            <w:r>
              <w:rPr>
                <w:sz w:val="20"/>
                <w:szCs w:val="20"/>
              </w:rPr>
              <w:t>Y6 KS2 SAT</w:t>
            </w:r>
          </w:p>
        </w:tc>
        <w:tc>
          <w:tcPr>
            <w:tcW w:w="986" w:type="dxa"/>
            <w:vMerge w:val="restart"/>
          </w:tcPr>
          <w:p w14:paraId="2A8E7978" w14:textId="573D0D88" w:rsidR="00965E5B" w:rsidRPr="00031302" w:rsidRDefault="00965E5B" w:rsidP="00965E5B">
            <w:pPr>
              <w:spacing w:after="0"/>
              <w:rPr>
                <w:sz w:val="20"/>
                <w:szCs w:val="20"/>
              </w:rPr>
            </w:pPr>
            <w:r>
              <w:rPr>
                <w:sz w:val="20"/>
                <w:szCs w:val="20"/>
              </w:rPr>
              <w:t>5/20</w:t>
            </w:r>
          </w:p>
        </w:tc>
        <w:tc>
          <w:tcPr>
            <w:tcW w:w="1248" w:type="dxa"/>
          </w:tcPr>
          <w:p w14:paraId="36D6A86B" w14:textId="77777777" w:rsidR="00965E5B" w:rsidRPr="00031302" w:rsidRDefault="00965E5B" w:rsidP="00965E5B">
            <w:pPr>
              <w:spacing w:after="0"/>
              <w:rPr>
                <w:sz w:val="20"/>
                <w:szCs w:val="20"/>
              </w:rPr>
            </w:pPr>
            <w:r w:rsidRPr="00031302">
              <w:rPr>
                <w:sz w:val="20"/>
                <w:szCs w:val="20"/>
              </w:rPr>
              <w:t>R</w:t>
            </w:r>
          </w:p>
        </w:tc>
        <w:tc>
          <w:tcPr>
            <w:tcW w:w="1249" w:type="dxa"/>
            <w:shd w:val="clear" w:color="auto" w:fill="FFFFFF" w:themeFill="background1"/>
          </w:tcPr>
          <w:p w14:paraId="497DBCB0" w14:textId="0E378F3C" w:rsidR="00965E5B" w:rsidRDefault="00965E5B" w:rsidP="00965E5B">
            <w:pPr>
              <w:spacing w:after="0"/>
              <w:rPr>
                <w:sz w:val="20"/>
                <w:szCs w:val="20"/>
              </w:rPr>
            </w:pPr>
            <w:r>
              <w:rPr>
                <w:sz w:val="20"/>
                <w:szCs w:val="20"/>
              </w:rPr>
              <w:t>4</w:t>
            </w:r>
            <w:r w:rsidRPr="00031302">
              <w:rPr>
                <w:sz w:val="20"/>
                <w:szCs w:val="20"/>
              </w:rPr>
              <w:t>/</w:t>
            </w:r>
            <w:r>
              <w:rPr>
                <w:sz w:val="20"/>
                <w:szCs w:val="20"/>
              </w:rPr>
              <w:t>5  8</w:t>
            </w:r>
            <w:r w:rsidRPr="00031302">
              <w:rPr>
                <w:sz w:val="20"/>
                <w:szCs w:val="20"/>
              </w:rPr>
              <w:t>0%</w:t>
            </w:r>
          </w:p>
          <w:p w14:paraId="1ADEA6AB" w14:textId="7CCF6160" w:rsidR="00965E5B" w:rsidRPr="00031302" w:rsidRDefault="00965E5B" w:rsidP="00965E5B">
            <w:pPr>
              <w:spacing w:after="0"/>
              <w:rPr>
                <w:sz w:val="20"/>
                <w:szCs w:val="20"/>
              </w:rPr>
            </w:pPr>
          </w:p>
        </w:tc>
        <w:tc>
          <w:tcPr>
            <w:tcW w:w="1258" w:type="dxa"/>
          </w:tcPr>
          <w:p w14:paraId="7D444ACB" w14:textId="3E2210ED" w:rsidR="00965E5B" w:rsidRPr="00031302" w:rsidRDefault="00965E5B" w:rsidP="00965E5B">
            <w:pPr>
              <w:spacing w:after="0"/>
              <w:rPr>
                <w:sz w:val="20"/>
                <w:szCs w:val="20"/>
              </w:rPr>
            </w:pPr>
            <w:r>
              <w:rPr>
                <w:sz w:val="20"/>
                <w:szCs w:val="20"/>
              </w:rPr>
              <w:t>60</w:t>
            </w:r>
          </w:p>
        </w:tc>
        <w:tc>
          <w:tcPr>
            <w:tcW w:w="3804" w:type="dxa"/>
            <w:vMerge w:val="restart"/>
          </w:tcPr>
          <w:p w14:paraId="3FF63A3E" w14:textId="77777777" w:rsidR="00965E5B" w:rsidRPr="00031302" w:rsidRDefault="00965E5B" w:rsidP="00965E5B">
            <w:pPr>
              <w:spacing w:after="0"/>
              <w:rPr>
                <w:sz w:val="20"/>
                <w:szCs w:val="20"/>
              </w:rPr>
            </w:pPr>
          </w:p>
        </w:tc>
      </w:tr>
      <w:tr w:rsidR="00965E5B" w:rsidRPr="009C73A8" w14:paraId="2E6EE194" w14:textId="77777777" w:rsidTr="00965E5B">
        <w:trPr>
          <w:trHeight w:val="586"/>
        </w:trPr>
        <w:tc>
          <w:tcPr>
            <w:tcW w:w="1604" w:type="dxa"/>
            <w:vMerge/>
          </w:tcPr>
          <w:p w14:paraId="02BA5E6D" w14:textId="77777777" w:rsidR="00965E5B" w:rsidRPr="00031302" w:rsidRDefault="00965E5B" w:rsidP="00965E5B">
            <w:pPr>
              <w:spacing w:after="0"/>
              <w:rPr>
                <w:sz w:val="20"/>
                <w:szCs w:val="20"/>
              </w:rPr>
            </w:pPr>
          </w:p>
        </w:tc>
        <w:tc>
          <w:tcPr>
            <w:tcW w:w="986" w:type="dxa"/>
            <w:vMerge/>
          </w:tcPr>
          <w:p w14:paraId="42C53405" w14:textId="77777777" w:rsidR="00965E5B" w:rsidRPr="00031302" w:rsidRDefault="00965E5B" w:rsidP="00965E5B">
            <w:pPr>
              <w:spacing w:after="0"/>
              <w:rPr>
                <w:sz w:val="20"/>
                <w:szCs w:val="20"/>
              </w:rPr>
            </w:pPr>
          </w:p>
        </w:tc>
        <w:tc>
          <w:tcPr>
            <w:tcW w:w="1248" w:type="dxa"/>
          </w:tcPr>
          <w:p w14:paraId="2269750B" w14:textId="77777777" w:rsidR="00965E5B" w:rsidRPr="00031302" w:rsidRDefault="00965E5B" w:rsidP="00965E5B">
            <w:pPr>
              <w:spacing w:after="0"/>
              <w:rPr>
                <w:sz w:val="20"/>
                <w:szCs w:val="20"/>
              </w:rPr>
            </w:pPr>
            <w:proofErr w:type="spellStart"/>
            <w:r w:rsidRPr="00031302">
              <w:rPr>
                <w:sz w:val="20"/>
                <w:szCs w:val="20"/>
              </w:rPr>
              <w:t>Wr</w:t>
            </w:r>
            <w:proofErr w:type="spellEnd"/>
          </w:p>
        </w:tc>
        <w:tc>
          <w:tcPr>
            <w:tcW w:w="1249" w:type="dxa"/>
            <w:shd w:val="clear" w:color="auto" w:fill="FFFFFF" w:themeFill="background1"/>
          </w:tcPr>
          <w:p w14:paraId="5F7E1D34" w14:textId="7133EC9B" w:rsidR="00965E5B" w:rsidRDefault="00965E5B" w:rsidP="00965E5B">
            <w:pPr>
              <w:spacing w:after="0"/>
              <w:rPr>
                <w:sz w:val="20"/>
                <w:szCs w:val="20"/>
              </w:rPr>
            </w:pPr>
            <w:r>
              <w:rPr>
                <w:sz w:val="20"/>
                <w:szCs w:val="20"/>
              </w:rPr>
              <w:t>2/5  4</w:t>
            </w:r>
            <w:r w:rsidRPr="00031302">
              <w:rPr>
                <w:sz w:val="20"/>
                <w:szCs w:val="20"/>
              </w:rPr>
              <w:t>0%</w:t>
            </w:r>
          </w:p>
          <w:p w14:paraId="3E9624A7" w14:textId="4BB0FA46" w:rsidR="00965E5B" w:rsidRPr="00031302" w:rsidRDefault="00965E5B" w:rsidP="00965E5B">
            <w:pPr>
              <w:spacing w:after="0"/>
              <w:rPr>
                <w:sz w:val="20"/>
                <w:szCs w:val="20"/>
              </w:rPr>
            </w:pPr>
          </w:p>
        </w:tc>
        <w:tc>
          <w:tcPr>
            <w:tcW w:w="1258" w:type="dxa"/>
          </w:tcPr>
          <w:p w14:paraId="2108E500" w14:textId="6D29CD69" w:rsidR="00965E5B" w:rsidRPr="00031302" w:rsidRDefault="00965E5B" w:rsidP="00965E5B">
            <w:pPr>
              <w:spacing w:after="0"/>
              <w:rPr>
                <w:sz w:val="20"/>
                <w:szCs w:val="20"/>
              </w:rPr>
            </w:pPr>
            <w:r>
              <w:rPr>
                <w:sz w:val="20"/>
                <w:szCs w:val="20"/>
              </w:rPr>
              <w:t>58</w:t>
            </w:r>
          </w:p>
        </w:tc>
        <w:tc>
          <w:tcPr>
            <w:tcW w:w="3804" w:type="dxa"/>
            <w:vMerge/>
          </w:tcPr>
          <w:p w14:paraId="6D45EBAB" w14:textId="77777777" w:rsidR="00965E5B" w:rsidRPr="00031302" w:rsidRDefault="00965E5B" w:rsidP="00965E5B">
            <w:pPr>
              <w:spacing w:after="0"/>
              <w:rPr>
                <w:sz w:val="20"/>
                <w:szCs w:val="20"/>
              </w:rPr>
            </w:pPr>
          </w:p>
        </w:tc>
      </w:tr>
      <w:tr w:rsidR="00965E5B" w:rsidRPr="009C73A8" w14:paraId="3EC27B85" w14:textId="77777777" w:rsidTr="00965E5B">
        <w:trPr>
          <w:trHeight w:val="586"/>
        </w:trPr>
        <w:tc>
          <w:tcPr>
            <w:tcW w:w="1604" w:type="dxa"/>
            <w:vMerge/>
          </w:tcPr>
          <w:p w14:paraId="6ED0B850" w14:textId="77777777" w:rsidR="00965E5B" w:rsidRPr="00031302" w:rsidRDefault="00965E5B" w:rsidP="00965E5B">
            <w:pPr>
              <w:spacing w:after="0"/>
              <w:rPr>
                <w:sz w:val="20"/>
                <w:szCs w:val="20"/>
              </w:rPr>
            </w:pPr>
          </w:p>
        </w:tc>
        <w:tc>
          <w:tcPr>
            <w:tcW w:w="986" w:type="dxa"/>
            <w:vMerge/>
          </w:tcPr>
          <w:p w14:paraId="583BD530" w14:textId="77777777" w:rsidR="00965E5B" w:rsidRPr="00031302" w:rsidRDefault="00965E5B" w:rsidP="00965E5B">
            <w:pPr>
              <w:spacing w:after="0"/>
              <w:rPr>
                <w:sz w:val="20"/>
                <w:szCs w:val="20"/>
              </w:rPr>
            </w:pPr>
          </w:p>
        </w:tc>
        <w:tc>
          <w:tcPr>
            <w:tcW w:w="1248" w:type="dxa"/>
          </w:tcPr>
          <w:p w14:paraId="0A6E83A8" w14:textId="77777777" w:rsidR="00965E5B" w:rsidRPr="00031302" w:rsidRDefault="00965E5B" w:rsidP="00965E5B">
            <w:pPr>
              <w:spacing w:after="0"/>
              <w:rPr>
                <w:sz w:val="20"/>
                <w:szCs w:val="20"/>
              </w:rPr>
            </w:pPr>
            <w:r w:rsidRPr="00031302">
              <w:rPr>
                <w:sz w:val="20"/>
                <w:szCs w:val="20"/>
              </w:rPr>
              <w:t>M</w:t>
            </w:r>
          </w:p>
        </w:tc>
        <w:tc>
          <w:tcPr>
            <w:tcW w:w="1249" w:type="dxa"/>
            <w:shd w:val="clear" w:color="auto" w:fill="FFFFFF" w:themeFill="background1"/>
          </w:tcPr>
          <w:p w14:paraId="3F8943CF" w14:textId="6D33FC38" w:rsidR="00965E5B" w:rsidRDefault="00965E5B" w:rsidP="00965E5B">
            <w:pPr>
              <w:spacing w:after="0"/>
              <w:rPr>
                <w:sz w:val="20"/>
                <w:szCs w:val="20"/>
              </w:rPr>
            </w:pPr>
            <w:r>
              <w:rPr>
                <w:sz w:val="20"/>
                <w:szCs w:val="20"/>
              </w:rPr>
              <w:t>3/5  6</w:t>
            </w:r>
            <w:r w:rsidRPr="00031302">
              <w:rPr>
                <w:sz w:val="20"/>
                <w:szCs w:val="20"/>
              </w:rPr>
              <w:t>0%</w:t>
            </w:r>
          </w:p>
          <w:p w14:paraId="1E420982" w14:textId="344FA2B4" w:rsidR="00965E5B" w:rsidRPr="00031302" w:rsidRDefault="00965E5B" w:rsidP="00965E5B">
            <w:pPr>
              <w:spacing w:after="0"/>
              <w:rPr>
                <w:sz w:val="20"/>
                <w:szCs w:val="20"/>
              </w:rPr>
            </w:pPr>
          </w:p>
        </w:tc>
        <w:tc>
          <w:tcPr>
            <w:tcW w:w="1258" w:type="dxa"/>
          </w:tcPr>
          <w:p w14:paraId="7A71C0C9" w14:textId="05593EE9" w:rsidR="00965E5B" w:rsidRPr="00031302" w:rsidRDefault="00965E5B" w:rsidP="00965E5B">
            <w:pPr>
              <w:spacing w:after="0"/>
              <w:rPr>
                <w:sz w:val="20"/>
                <w:szCs w:val="20"/>
              </w:rPr>
            </w:pPr>
            <w:r>
              <w:rPr>
                <w:sz w:val="20"/>
                <w:szCs w:val="20"/>
              </w:rPr>
              <w:t>59</w:t>
            </w:r>
          </w:p>
        </w:tc>
        <w:tc>
          <w:tcPr>
            <w:tcW w:w="3804" w:type="dxa"/>
            <w:vMerge/>
          </w:tcPr>
          <w:p w14:paraId="78FDE18B" w14:textId="77777777" w:rsidR="00965E5B" w:rsidRPr="00031302" w:rsidRDefault="00965E5B" w:rsidP="00965E5B">
            <w:pPr>
              <w:spacing w:after="0"/>
              <w:rPr>
                <w:sz w:val="20"/>
                <w:szCs w:val="20"/>
              </w:rPr>
            </w:pPr>
          </w:p>
        </w:tc>
      </w:tr>
      <w:tr w:rsidR="00965E5B" w:rsidRPr="009C73A8" w14:paraId="28317D10" w14:textId="77777777" w:rsidTr="00965E5B">
        <w:trPr>
          <w:trHeight w:val="586"/>
        </w:trPr>
        <w:tc>
          <w:tcPr>
            <w:tcW w:w="1604" w:type="dxa"/>
            <w:vMerge/>
          </w:tcPr>
          <w:p w14:paraId="4609780E" w14:textId="77777777" w:rsidR="00965E5B" w:rsidRPr="00031302" w:rsidRDefault="00965E5B" w:rsidP="00965E5B">
            <w:pPr>
              <w:spacing w:after="0"/>
              <w:rPr>
                <w:sz w:val="20"/>
                <w:szCs w:val="20"/>
              </w:rPr>
            </w:pPr>
          </w:p>
        </w:tc>
        <w:tc>
          <w:tcPr>
            <w:tcW w:w="986" w:type="dxa"/>
            <w:vMerge/>
          </w:tcPr>
          <w:p w14:paraId="744F89A6" w14:textId="77777777" w:rsidR="00965E5B" w:rsidRPr="00031302" w:rsidRDefault="00965E5B" w:rsidP="00965E5B">
            <w:pPr>
              <w:spacing w:after="0"/>
              <w:rPr>
                <w:sz w:val="20"/>
                <w:szCs w:val="20"/>
              </w:rPr>
            </w:pPr>
          </w:p>
        </w:tc>
        <w:tc>
          <w:tcPr>
            <w:tcW w:w="1248" w:type="dxa"/>
          </w:tcPr>
          <w:p w14:paraId="2A6099F8" w14:textId="7A37567F" w:rsidR="00965E5B" w:rsidRPr="00031302" w:rsidRDefault="00965E5B" w:rsidP="00965E5B">
            <w:pPr>
              <w:spacing w:after="0"/>
              <w:rPr>
                <w:sz w:val="20"/>
                <w:szCs w:val="20"/>
              </w:rPr>
            </w:pPr>
            <w:r>
              <w:rPr>
                <w:sz w:val="20"/>
                <w:szCs w:val="20"/>
              </w:rPr>
              <w:t>GPS</w:t>
            </w:r>
          </w:p>
        </w:tc>
        <w:tc>
          <w:tcPr>
            <w:tcW w:w="1249" w:type="dxa"/>
            <w:shd w:val="clear" w:color="auto" w:fill="FFFFFF" w:themeFill="background1"/>
          </w:tcPr>
          <w:p w14:paraId="258CA6A8" w14:textId="2F8A7373" w:rsidR="00965E5B" w:rsidRPr="00031302" w:rsidRDefault="00965E5B" w:rsidP="00965E5B">
            <w:pPr>
              <w:spacing w:after="0"/>
              <w:rPr>
                <w:sz w:val="20"/>
                <w:szCs w:val="20"/>
              </w:rPr>
            </w:pPr>
            <w:r>
              <w:rPr>
                <w:sz w:val="20"/>
                <w:szCs w:val="20"/>
              </w:rPr>
              <w:t>4/5   8</w:t>
            </w:r>
            <w:r w:rsidRPr="00031302">
              <w:rPr>
                <w:sz w:val="20"/>
                <w:szCs w:val="20"/>
              </w:rPr>
              <w:t>0%</w:t>
            </w:r>
          </w:p>
        </w:tc>
        <w:tc>
          <w:tcPr>
            <w:tcW w:w="1258" w:type="dxa"/>
          </w:tcPr>
          <w:p w14:paraId="439D7D35" w14:textId="156C35BE" w:rsidR="00965E5B" w:rsidRPr="00031302" w:rsidRDefault="00965E5B" w:rsidP="00965E5B">
            <w:pPr>
              <w:spacing w:after="0"/>
              <w:rPr>
                <w:sz w:val="20"/>
                <w:szCs w:val="20"/>
              </w:rPr>
            </w:pPr>
            <w:r>
              <w:rPr>
                <w:sz w:val="20"/>
                <w:szCs w:val="20"/>
              </w:rPr>
              <w:t>no data</w:t>
            </w:r>
          </w:p>
        </w:tc>
        <w:tc>
          <w:tcPr>
            <w:tcW w:w="3804" w:type="dxa"/>
            <w:vMerge/>
          </w:tcPr>
          <w:p w14:paraId="0BD93E23" w14:textId="77777777" w:rsidR="00965E5B" w:rsidRPr="00031302" w:rsidRDefault="00965E5B" w:rsidP="00965E5B">
            <w:pPr>
              <w:spacing w:after="0"/>
              <w:rPr>
                <w:sz w:val="20"/>
                <w:szCs w:val="20"/>
              </w:rPr>
            </w:pPr>
          </w:p>
        </w:tc>
      </w:tr>
      <w:tr w:rsidR="00965E5B" w:rsidRPr="009C73A8" w14:paraId="6596DC8E" w14:textId="77777777" w:rsidTr="00965E5B">
        <w:trPr>
          <w:trHeight w:val="586"/>
        </w:trPr>
        <w:tc>
          <w:tcPr>
            <w:tcW w:w="1604" w:type="dxa"/>
            <w:vMerge/>
          </w:tcPr>
          <w:p w14:paraId="0CEA65EC" w14:textId="77777777" w:rsidR="00965E5B" w:rsidRPr="00031302" w:rsidRDefault="00965E5B" w:rsidP="00965E5B">
            <w:pPr>
              <w:spacing w:after="0"/>
              <w:rPr>
                <w:sz w:val="20"/>
                <w:szCs w:val="20"/>
              </w:rPr>
            </w:pPr>
          </w:p>
        </w:tc>
        <w:tc>
          <w:tcPr>
            <w:tcW w:w="986" w:type="dxa"/>
            <w:vMerge/>
          </w:tcPr>
          <w:p w14:paraId="1754D8FE" w14:textId="77777777" w:rsidR="00965E5B" w:rsidRPr="00031302" w:rsidRDefault="00965E5B" w:rsidP="00965E5B">
            <w:pPr>
              <w:spacing w:after="0"/>
              <w:rPr>
                <w:sz w:val="20"/>
                <w:szCs w:val="20"/>
              </w:rPr>
            </w:pPr>
          </w:p>
        </w:tc>
        <w:tc>
          <w:tcPr>
            <w:tcW w:w="1248" w:type="dxa"/>
          </w:tcPr>
          <w:p w14:paraId="2D153BFA" w14:textId="4E116EEC" w:rsidR="00965E5B" w:rsidRDefault="00965E5B" w:rsidP="00965E5B">
            <w:pPr>
              <w:spacing w:after="0"/>
              <w:rPr>
                <w:sz w:val="20"/>
                <w:szCs w:val="20"/>
              </w:rPr>
            </w:pPr>
            <w:r>
              <w:rPr>
                <w:sz w:val="20"/>
                <w:szCs w:val="20"/>
              </w:rPr>
              <w:t>RWM combined</w:t>
            </w:r>
          </w:p>
        </w:tc>
        <w:tc>
          <w:tcPr>
            <w:tcW w:w="1249" w:type="dxa"/>
            <w:shd w:val="clear" w:color="auto" w:fill="FFFFFF" w:themeFill="background1"/>
          </w:tcPr>
          <w:p w14:paraId="22AAA609" w14:textId="0B21ECEA" w:rsidR="00965E5B" w:rsidRDefault="00965E5B" w:rsidP="00965E5B">
            <w:pPr>
              <w:spacing w:after="0"/>
              <w:rPr>
                <w:sz w:val="20"/>
                <w:szCs w:val="20"/>
              </w:rPr>
            </w:pPr>
            <w:r>
              <w:rPr>
                <w:sz w:val="20"/>
                <w:szCs w:val="20"/>
              </w:rPr>
              <w:t xml:space="preserve">2/5  40% </w:t>
            </w:r>
          </w:p>
        </w:tc>
        <w:tc>
          <w:tcPr>
            <w:tcW w:w="1258" w:type="dxa"/>
          </w:tcPr>
          <w:p w14:paraId="07B0744D" w14:textId="0DD923C3" w:rsidR="00965E5B" w:rsidRDefault="00965E5B" w:rsidP="00965E5B">
            <w:pPr>
              <w:spacing w:after="0"/>
              <w:rPr>
                <w:sz w:val="20"/>
                <w:szCs w:val="20"/>
              </w:rPr>
            </w:pPr>
            <w:r>
              <w:rPr>
                <w:sz w:val="20"/>
                <w:szCs w:val="20"/>
              </w:rPr>
              <w:t>44</w:t>
            </w:r>
          </w:p>
        </w:tc>
        <w:tc>
          <w:tcPr>
            <w:tcW w:w="3804" w:type="dxa"/>
            <w:vMerge/>
          </w:tcPr>
          <w:p w14:paraId="176A56F6" w14:textId="77777777" w:rsidR="00965E5B" w:rsidRPr="00031302" w:rsidRDefault="00965E5B" w:rsidP="00965E5B">
            <w:pPr>
              <w:spacing w:after="0"/>
              <w:rPr>
                <w:sz w:val="20"/>
                <w:szCs w:val="20"/>
              </w:rPr>
            </w:pPr>
          </w:p>
        </w:tc>
      </w:tr>
    </w:tbl>
    <w:p w14:paraId="2A7D5548" w14:textId="77777777" w:rsidR="00E66558" w:rsidRPr="00DE539D" w:rsidRDefault="009D71E8">
      <w:pPr>
        <w:pStyle w:val="Heading2"/>
        <w:spacing w:before="600"/>
        <w:rPr>
          <w:rFonts w:asciiTheme="minorHAnsi" w:hAnsiTheme="minorHAnsi" w:cstheme="minorHAnsi"/>
        </w:rPr>
      </w:pPr>
      <w:r w:rsidRPr="00DE539D">
        <w:rPr>
          <w:rFonts w:asciiTheme="minorHAnsi" w:hAnsiTheme="minorHAnsi" w:cstheme="minorHAnsi"/>
        </w:rPr>
        <w:t>Externally provided programmes</w:t>
      </w:r>
    </w:p>
    <w:p w14:paraId="2A7D5549" w14:textId="77777777" w:rsidR="00E66558" w:rsidRPr="00DE539D" w:rsidRDefault="009D71E8">
      <w:pPr>
        <w:rPr>
          <w:rFonts w:asciiTheme="minorHAnsi" w:hAnsiTheme="minorHAnsi" w:cstheme="minorHAnsi"/>
          <w:i/>
          <w:iCs/>
        </w:rPr>
      </w:pPr>
      <w:r w:rsidRPr="00DE539D">
        <w:rPr>
          <w:rFonts w:asciiTheme="minorHAnsi" w:hAnsiTheme="minorHAnsi" w:cstheme="minorHAnsi"/>
          <w:i/>
          <w:iCs/>
        </w:rPr>
        <w:t>Please include the names of any non-</w:t>
      </w:r>
      <w:proofErr w:type="spellStart"/>
      <w:r w:rsidRPr="00DE539D">
        <w:rPr>
          <w:rFonts w:asciiTheme="minorHAnsi" w:hAnsiTheme="minorHAnsi" w:cstheme="minorHAnsi"/>
          <w:i/>
          <w:iCs/>
        </w:rPr>
        <w:t>DfE</w:t>
      </w:r>
      <w:proofErr w:type="spellEnd"/>
      <w:r w:rsidRPr="00DE539D">
        <w:rPr>
          <w:rFonts w:asciiTheme="minorHAnsi" w:hAnsiTheme="minorHAnsi" w:cstheme="minorHAnsi"/>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rsidRPr="00DE539D" w14:paraId="2A7D554C" w14:textId="77777777" w:rsidTr="00EA764A">
        <w:tc>
          <w:tcPr>
            <w:tcW w:w="49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Programme</w:t>
            </w:r>
          </w:p>
        </w:tc>
        <w:tc>
          <w:tcPr>
            <w:tcW w:w="47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rPr>
              <w:t>Provider</w:t>
            </w:r>
          </w:p>
        </w:tc>
      </w:tr>
      <w:tr w:rsidR="00E66558" w:rsidRPr="00DE539D" w14:paraId="2A7D554F" w14:textId="77777777" w:rsidTr="00EA764A">
        <w:tc>
          <w:tcPr>
            <w:tcW w:w="4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9B2EADA" w:rsidR="00E66558" w:rsidRPr="00DE539D" w:rsidRDefault="00EA764A">
            <w:pPr>
              <w:pStyle w:val="TableRow"/>
              <w:rPr>
                <w:rFonts w:asciiTheme="minorHAnsi" w:hAnsiTheme="minorHAnsi" w:cstheme="minorHAnsi"/>
              </w:rPr>
            </w:pPr>
            <w:r>
              <w:rPr>
                <w:rFonts w:asciiTheme="minorHAnsi" w:hAnsiTheme="minorHAnsi" w:cstheme="minorHAnsi"/>
              </w:rPr>
              <w:t>N/A</w:t>
            </w:r>
          </w:p>
        </w:tc>
        <w:tc>
          <w:tcPr>
            <w:tcW w:w="4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Pr="00DE539D" w:rsidRDefault="00E66558">
            <w:pPr>
              <w:pStyle w:val="TableRowCentered"/>
              <w:jc w:val="left"/>
              <w:rPr>
                <w:rFonts w:asciiTheme="minorHAnsi" w:hAnsiTheme="minorHAnsi" w:cstheme="minorHAnsi"/>
              </w:rPr>
            </w:pPr>
          </w:p>
        </w:tc>
      </w:tr>
    </w:tbl>
    <w:p w14:paraId="2A7D5553" w14:textId="77777777" w:rsidR="00E66558" w:rsidRPr="00DE539D" w:rsidRDefault="009D71E8">
      <w:pPr>
        <w:pStyle w:val="Heading2"/>
        <w:spacing w:before="600"/>
        <w:rPr>
          <w:rFonts w:asciiTheme="minorHAnsi" w:hAnsiTheme="minorHAnsi" w:cstheme="minorHAnsi"/>
        </w:rPr>
      </w:pPr>
      <w:r w:rsidRPr="00DE539D">
        <w:rPr>
          <w:rFonts w:asciiTheme="minorHAnsi" w:hAnsiTheme="minorHAnsi" w:cstheme="minorHAnsi"/>
        </w:rPr>
        <w:lastRenderedPageBreak/>
        <w:t>Service pupil premium funding (optional)</w:t>
      </w:r>
    </w:p>
    <w:p w14:paraId="2A7D5554" w14:textId="77777777" w:rsidR="00E66558" w:rsidRPr="00DE539D" w:rsidRDefault="009D71E8">
      <w:pPr>
        <w:rPr>
          <w:rFonts w:asciiTheme="minorHAnsi" w:hAnsiTheme="minorHAnsi" w:cstheme="minorHAnsi"/>
          <w:i/>
          <w:iCs/>
        </w:rPr>
      </w:pPr>
      <w:r w:rsidRPr="00DE539D">
        <w:rPr>
          <w:rFonts w:asciiTheme="minorHAnsi" w:hAnsiTheme="minorHAnsi" w:cstheme="minorHAnsi"/>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930"/>
        <w:gridCol w:w="4782"/>
      </w:tblGrid>
      <w:tr w:rsidR="00E66558" w:rsidRPr="00DE539D"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DE539D" w:rsidRDefault="009D71E8">
            <w:pPr>
              <w:pStyle w:val="TableHeader"/>
              <w:jc w:val="left"/>
              <w:rPr>
                <w:rFonts w:asciiTheme="minorHAnsi" w:hAnsiTheme="minorHAnsi" w:cstheme="minorHAnsi"/>
              </w:rPr>
            </w:pPr>
            <w:bookmarkStart w:id="18" w:name="_Hlk80604898"/>
            <w:r w:rsidRPr="00DE539D">
              <w:rPr>
                <w:rFonts w:asciiTheme="minorHAnsi" w:hAnsiTheme="minorHAnsi" w:cstheme="minorHAnsi"/>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DE539D" w:rsidRDefault="009D71E8">
            <w:pPr>
              <w:pStyle w:val="TableHeader"/>
              <w:jc w:val="left"/>
              <w:rPr>
                <w:rFonts w:asciiTheme="minorHAnsi" w:hAnsiTheme="minorHAnsi" w:cstheme="minorHAnsi"/>
              </w:rPr>
            </w:pPr>
            <w:r w:rsidRPr="00DE539D">
              <w:rPr>
                <w:rFonts w:asciiTheme="minorHAnsi" w:hAnsiTheme="minorHAnsi" w:cstheme="minorHAnsi"/>
                <w:bCs/>
              </w:rPr>
              <w:t xml:space="preserve">Details </w:t>
            </w:r>
          </w:p>
        </w:tc>
      </w:tr>
      <w:tr w:rsidR="00E66558" w:rsidRPr="00DE539D"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Pr="00DE539D" w:rsidRDefault="009D71E8">
            <w:pPr>
              <w:pStyle w:val="TableRow"/>
              <w:rPr>
                <w:rFonts w:asciiTheme="minorHAnsi" w:hAnsiTheme="minorHAnsi" w:cstheme="minorHAnsi"/>
              </w:rPr>
            </w:pPr>
            <w:r w:rsidRPr="00DE539D">
              <w:rPr>
                <w:rFonts w:asciiTheme="minorHAnsi" w:hAnsiTheme="minorHAnsi" w:cstheme="minorHAnsi"/>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229EE1EC" w:rsidR="00E66558" w:rsidRPr="00DE539D" w:rsidRDefault="00EA764A">
            <w:pPr>
              <w:pStyle w:val="TableRowCentered"/>
              <w:jc w:val="left"/>
              <w:rPr>
                <w:rFonts w:asciiTheme="minorHAnsi" w:hAnsiTheme="minorHAnsi" w:cstheme="minorHAnsi"/>
              </w:rPr>
            </w:pPr>
            <w:r>
              <w:rPr>
                <w:rFonts w:asciiTheme="minorHAnsi" w:hAnsiTheme="minorHAnsi" w:cstheme="minorHAnsi"/>
              </w:rPr>
              <w:t>N/A</w:t>
            </w:r>
          </w:p>
        </w:tc>
      </w:tr>
      <w:tr w:rsidR="00E66558" w:rsidRPr="00DE539D"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DE539D" w:rsidRDefault="009D71E8">
            <w:pPr>
              <w:pStyle w:val="TableRow"/>
              <w:rPr>
                <w:rFonts w:asciiTheme="minorHAnsi" w:hAnsiTheme="minorHAnsi" w:cstheme="minorHAnsi"/>
              </w:rPr>
            </w:pPr>
            <w:r w:rsidRPr="00DE539D">
              <w:rPr>
                <w:rFonts w:asciiTheme="minorHAnsi" w:hAnsiTheme="minorHAnsi" w:cstheme="minorHAnsi"/>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444DDA0D" w:rsidR="00E66558" w:rsidRPr="00DE539D" w:rsidRDefault="00EA764A">
            <w:pPr>
              <w:pStyle w:val="TableRowCentered"/>
              <w:jc w:val="left"/>
              <w:rPr>
                <w:rFonts w:asciiTheme="minorHAnsi" w:hAnsiTheme="minorHAnsi" w:cstheme="minorHAnsi"/>
              </w:rPr>
            </w:pPr>
            <w:r>
              <w:rPr>
                <w:rFonts w:asciiTheme="minorHAnsi" w:hAnsiTheme="minorHAnsi" w:cstheme="minorHAnsi"/>
              </w:rPr>
              <w:t>N/A</w:t>
            </w:r>
          </w:p>
        </w:tc>
      </w:tr>
      <w:bookmarkEnd w:id="18"/>
    </w:tbl>
    <w:p w14:paraId="2A7D555E" w14:textId="77777777" w:rsidR="00E66558" w:rsidRPr="00DE539D" w:rsidRDefault="00E66558">
      <w:pPr>
        <w:rPr>
          <w:rFonts w:asciiTheme="minorHAnsi" w:hAnsiTheme="minorHAnsi" w:cstheme="minorHAnsi"/>
        </w:rPr>
      </w:pPr>
    </w:p>
    <w:p w14:paraId="2A7D555F" w14:textId="77777777" w:rsidR="00E66558" w:rsidRPr="00DE539D" w:rsidRDefault="00E66558">
      <w:pPr>
        <w:spacing w:after="0" w:line="240" w:lineRule="auto"/>
        <w:rPr>
          <w:rFonts w:asciiTheme="minorHAnsi" w:hAnsiTheme="minorHAnsi" w:cstheme="minorHAnsi"/>
        </w:rPr>
      </w:pPr>
    </w:p>
    <w:p w14:paraId="2A7D5560" w14:textId="77777777" w:rsidR="00E66558" w:rsidRPr="00DE539D" w:rsidRDefault="009D71E8">
      <w:pPr>
        <w:pStyle w:val="Heading1"/>
        <w:rPr>
          <w:rFonts w:asciiTheme="minorHAnsi" w:hAnsiTheme="minorHAnsi" w:cstheme="minorHAnsi"/>
        </w:rPr>
      </w:pPr>
      <w:r w:rsidRPr="00DE539D">
        <w:rPr>
          <w:rFonts w:asciiTheme="minorHAnsi" w:hAnsiTheme="minorHAnsi" w:cstheme="minorHAnsi"/>
        </w:rP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rsidRPr="00DE539D"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Pr="00DE539D" w:rsidRDefault="009D71E8">
            <w:pPr>
              <w:spacing w:before="120" w:after="120"/>
              <w:rPr>
                <w:rFonts w:asciiTheme="minorHAnsi" w:hAnsiTheme="minorHAnsi" w:cstheme="minorHAnsi"/>
                <w:i/>
                <w:iCs/>
              </w:rPr>
            </w:pPr>
            <w:r w:rsidRPr="00DE539D">
              <w:rPr>
                <w:rFonts w:asciiTheme="minorHAnsi" w:hAnsiTheme="minorHAnsi" w:cstheme="minorHAnsi"/>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Pr="00DE539D" w:rsidRDefault="00E66558">
            <w:pPr>
              <w:spacing w:before="120" w:after="120"/>
              <w:rPr>
                <w:rFonts w:asciiTheme="minorHAnsi" w:hAnsiTheme="minorHAnsi" w:cstheme="minorHAnsi"/>
                <w:i/>
                <w:iCs/>
              </w:rPr>
            </w:pPr>
          </w:p>
        </w:tc>
      </w:tr>
      <w:bookmarkEnd w:id="14"/>
      <w:bookmarkEnd w:id="15"/>
      <w:bookmarkEnd w:id="16"/>
    </w:tbl>
    <w:p w14:paraId="2A7D5564" w14:textId="77777777" w:rsidR="00E66558" w:rsidRPr="00DE539D" w:rsidRDefault="00E66558">
      <w:pPr>
        <w:rPr>
          <w:rFonts w:asciiTheme="minorHAnsi" w:hAnsiTheme="minorHAnsi" w:cstheme="minorHAnsi"/>
        </w:rPr>
      </w:pPr>
    </w:p>
    <w:sectPr w:rsidR="00E66558" w:rsidRPr="00DE539D">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A99F0" w14:textId="77777777" w:rsidR="0098480D" w:rsidRDefault="0098480D">
      <w:pPr>
        <w:spacing w:after="0" w:line="240" w:lineRule="auto"/>
      </w:pPr>
      <w:r>
        <w:separator/>
      </w:r>
    </w:p>
  </w:endnote>
  <w:endnote w:type="continuationSeparator" w:id="0">
    <w:p w14:paraId="66A5605F" w14:textId="77777777" w:rsidR="0098480D" w:rsidRDefault="00984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77777777" w:rsidR="005E28A4" w:rsidRDefault="009D71E8">
    <w:pPr>
      <w:pStyle w:val="Footer"/>
      <w:ind w:firstLine="4513"/>
    </w:pPr>
    <w:r>
      <w:fldChar w:fldCharType="begin"/>
    </w:r>
    <w:r>
      <w:instrText xml:space="preserve"> PAGE </w:instrText>
    </w:r>
    <w:r>
      <w:fldChar w:fldCharType="separate"/>
    </w:r>
    <w:r w:rsidR="003C6201">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20D8B" w14:textId="77777777" w:rsidR="0098480D" w:rsidRDefault="0098480D">
      <w:pPr>
        <w:spacing w:after="0" w:line="240" w:lineRule="auto"/>
      </w:pPr>
      <w:r>
        <w:separator/>
      </w:r>
    </w:p>
  </w:footnote>
  <w:footnote w:type="continuationSeparator" w:id="0">
    <w:p w14:paraId="01925B0F" w14:textId="77777777" w:rsidR="0098480D" w:rsidRDefault="00984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5E28A4" w:rsidRDefault="009848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C38CD"/>
    <w:multiLevelType w:val="hybridMultilevel"/>
    <w:tmpl w:val="9F200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7"/>
  </w:num>
  <w:num w:numId="7">
    <w:abstractNumId w:val="9"/>
  </w:num>
  <w:num w:numId="8">
    <w:abstractNumId w:val="13"/>
  </w:num>
  <w:num w:numId="9">
    <w:abstractNumId w:val="11"/>
  </w:num>
  <w:num w:numId="10">
    <w:abstractNumId w:val="10"/>
  </w:num>
  <w:num w:numId="11">
    <w:abstractNumId w:val="3"/>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243B4"/>
    <w:rsid w:val="00031302"/>
    <w:rsid w:val="00047958"/>
    <w:rsid w:val="0005177C"/>
    <w:rsid w:val="00066B73"/>
    <w:rsid w:val="000B47FF"/>
    <w:rsid w:val="00120AB1"/>
    <w:rsid w:val="0016269B"/>
    <w:rsid w:val="0019464D"/>
    <w:rsid w:val="001F2ABE"/>
    <w:rsid w:val="00247D74"/>
    <w:rsid w:val="00274290"/>
    <w:rsid w:val="00295417"/>
    <w:rsid w:val="002C3273"/>
    <w:rsid w:val="002F051F"/>
    <w:rsid w:val="00335451"/>
    <w:rsid w:val="0037437C"/>
    <w:rsid w:val="0037678F"/>
    <w:rsid w:val="003C6201"/>
    <w:rsid w:val="003E3BB0"/>
    <w:rsid w:val="004044AA"/>
    <w:rsid w:val="00425A5B"/>
    <w:rsid w:val="004407ED"/>
    <w:rsid w:val="004B5C37"/>
    <w:rsid w:val="00513244"/>
    <w:rsid w:val="00545353"/>
    <w:rsid w:val="0055787F"/>
    <w:rsid w:val="00614487"/>
    <w:rsid w:val="00634238"/>
    <w:rsid w:val="00635FBC"/>
    <w:rsid w:val="00677982"/>
    <w:rsid w:val="006E6B4A"/>
    <w:rsid w:val="006E7FB1"/>
    <w:rsid w:val="00741B9E"/>
    <w:rsid w:val="007C2F04"/>
    <w:rsid w:val="007C3F33"/>
    <w:rsid w:val="00817E39"/>
    <w:rsid w:val="008715F0"/>
    <w:rsid w:val="00965E5B"/>
    <w:rsid w:val="00981DE3"/>
    <w:rsid w:val="0098480D"/>
    <w:rsid w:val="009A0FC6"/>
    <w:rsid w:val="009D01E1"/>
    <w:rsid w:val="009D71E8"/>
    <w:rsid w:val="009F322E"/>
    <w:rsid w:val="00A042D8"/>
    <w:rsid w:val="00A477FF"/>
    <w:rsid w:val="00B9188B"/>
    <w:rsid w:val="00C87F85"/>
    <w:rsid w:val="00C90C0A"/>
    <w:rsid w:val="00CD5DD8"/>
    <w:rsid w:val="00CE2B50"/>
    <w:rsid w:val="00D06874"/>
    <w:rsid w:val="00D33FE5"/>
    <w:rsid w:val="00DE515C"/>
    <w:rsid w:val="00DE539D"/>
    <w:rsid w:val="00E66558"/>
    <w:rsid w:val="00E94F11"/>
    <w:rsid w:val="00EA764A"/>
    <w:rsid w:val="00EF63D7"/>
    <w:rsid w:val="00F10BF9"/>
    <w:rsid w:val="00F24A11"/>
    <w:rsid w:val="00F63110"/>
    <w:rsid w:val="00F86074"/>
    <w:rsid w:val="00FC2C34"/>
    <w:rsid w:val="00FF6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19464D"/>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513244"/>
    <w:pPr>
      <w:autoSpaceDN/>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19464D"/>
    <w:pPr>
      <w:suppressAutoHyphens w:val="0"/>
      <w:autoSpaceDN/>
      <w:spacing w:before="100" w:beforeAutospacing="1" w:after="100" w:afterAutospacing="1" w:line="240" w:lineRule="auto"/>
    </w:pPr>
    <w:rPr>
      <w:rFonts w:ascii="Times New Roman" w:hAnsi="Times New Roman"/>
      <w:color w:val="auto"/>
    </w:rPr>
  </w:style>
  <w:style w:type="table" w:styleId="TableGrid">
    <w:name w:val="Table Grid"/>
    <w:basedOn w:val="TableNormal"/>
    <w:uiPriority w:val="39"/>
    <w:rsid w:val="00513244"/>
    <w:pPr>
      <w:autoSpaceDN/>
    </w:pPr>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Microsoft</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creator>Publishing.TEAM@education.gsi.gov.uk</dc:creator>
  <dc:description>Master-ET-v3.8</dc:description>
  <cp:lastModifiedBy>Head</cp:lastModifiedBy>
  <cp:revision>5</cp:revision>
  <cp:lastPrinted>2022-08-28T11:30:00Z</cp:lastPrinted>
  <dcterms:created xsi:type="dcterms:W3CDTF">2024-01-14T10:52:00Z</dcterms:created>
  <dcterms:modified xsi:type="dcterms:W3CDTF">2024-01-21T11:24:00Z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